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内蒙古自治区呼和浩特市统计局</w:t>
      </w:r>
    </w:p>
    <w:p>
      <w:pPr>
        <w:spacing w:line="560" w:lineRule="exact"/>
        <w:jc w:val="center"/>
        <w:rPr>
          <w:rFonts w:ascii="宋体" w:hAnsi="宋体"/>
          <w:b/>
          <w:sz w:val="44"/>
          <w:szCs w:val="44"/>
        </w:rPr>
      </w:pPr>
      <w:r>
        <w:rPr>
          <w:rFonts w:hint="eastAsia" w:ascii="宋体" w:hAnsi="宋体"/>
          <w:b/>
          <w:sz w:val="44"/>
          <w:szCs w:val="44"/>
        </w:rPr>
        <w:t>综合保障中心2022年部门预算公开报告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default" w:ascii="楷体_GB2312" w:eastAsia="楷体_GB2312"/>
          <w:sz w:val="32"/>
          <w:szCs w:val="32"/>
        </w:rPr>
        <w:t>2</w:t>
      </w:r>
      <w:bookmarkStart w:id="1" w:name="_GoBack"/>
      <w:bookmarkEnd w:id="1"/>
      <w:r>
        <w:rPr>
          <w:rFonts w:hint="eastAsia" w:ascii="楷体_GB2312" w:eastAsia="楷体_GB2312"/>
          <w:sz w:val="32"/>
          <w:szCs w:val="32"/>
        </w:rPr>
        <w:t>年3  月18  日</w:t>
      </w: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2022年部门预算安排情况说明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2022年部门预算公开表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一、部门收支预算总表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二、部门收入预算总表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三、部门支出预算总表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四、财政拨款收支预算总表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五、一般公共预算财政拨款支出预算表</w:t>
      </w:r>
    </w:p>
    <w:p>
      <w:pPr>
        <w:spacing w:line="336" w:lineRule="auto"/>
        <w:rPr>
          <w:rFonts w:ascii="楷体_GB2312" w:eastAsia="楷体_GB2312"/>
          <w:sz w:val="32"/>
          <w:szCs w:val="32"/>
        </w:rPr>
      </w:pPr>
      <w:r>
        <w:rPr>
          <w:rFonts w:hint="eastAsia" w:ascii="楷体_GB2312" w:hAnsi="黑体" w:eastAsia="楷体_GB2312"/>
          <w:color w:val="000000"/>
          <w:sz w:val="32"/>
          <w:szCs w:val="32"/>
        </w:rPr>
        <w:t xml:space="preserve">    六、一般公共预算财政拨款基本支出预算表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七、财政拨款“三公”经费支出预算表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八、政府性基金预算财政拨款支出预算表</w:t>
      </w:r>
    </w:p>
    <w:p>
      <w:pPr>
        <w:ind w:firstLine="640" w:firstLineChars="200"/>
        <w:rPr>
          <w:rFonts w:ascii="楷体_GB2312" w:eastAsia="楷体_GB2312"/>
          <w:sz w:val="32"/>
          <w:szCs w:val="32"/>
        </w:rPr>
      </w:pPr>
      <w:r>
        <w:rPr>
          <w:rFonts w:hint="eastAsia" w:ascii="楷体_GB2312" w:eastAsia="楷体_GB2312"/>
          <w:sz w:val="32"/>
          <w:szCs w:val="32"/>
        </w:rPr>
        <w:t>九、国有资本经营预算表</w:t>
      </w:r>
    </w:p>
    <w:p>
      <w:pPr>
        <w:ind w:firstLine="640" w:firstLineChars="200"/>
        <w:rPr>
          <w:rFonts w:ascii="楷体_GB2312" w:eastAsia="楷体_GB2312"/>
          <w:sz w:val="32"/>
          <w:szCs w:val="32"/>
        </w:rPr>
      </w:pPr>
      <w:r>
        <w:rPr>
          <w:rFonts w:hint="eastAsia" w:ascii="楷体_GB2312" w:eastAsia="楷体_GB2312"/>
          <w:sz w:val="32"/>
          <w:szCs w:val="32"/>
        </w:rPr>
        <w:t>十、部门项目支出表</w:t>
      </w:r>
    </w:p>
    <w:p>
      <w:pPr>
        <w:ind w:firstLine="640" w:firstLineChars="200"/>
        <w:rPr>
          <w:rFonts w:ascii="楷体_GB2312" w:hAnsi="黑体" w:eastAsia="楷体_GB2312"/>
          <w:sz w:val="32"/>
          <w:szCs w:val="32"/>
        </w:rPr>
      </w:pPr>
      <w:r>
        <w:rPr>
          <w:rFonts w:hint="eastAsia" w:ascii="楷体_GB2312" w:hAnsi="黑体" w:eastAsia="楷体_GB2312"/>
          <w:sz w:val="32"/>
          <w:szCs w:val="32"/>
        </w:rPr>
        <w:t>十一、项目支出绩效目标申报表</w:t>
      </w:r>
    </w:p>
    <w:p>
      <w:pPr>
        <w:ind w:firstLine="640" w:firstLineChars="200"/>
        <w:rPr>
          <w:rFonts w:ascii="楷体_GB2312" w:eastAsia="楷体_GB2312"/>
          <w:sz w:val="32"/>
          <w:szCs w:val="32"/>
        </w:rPr>
      </w:pPr>
      <w:r>
        <w:rPr>
          <w:rFonts w:hint="eastAsia" w:ascii="楷体_GB2312" w:hAnsi="黑体" w:eastAsia="楷体_GB2312"/>
          <w:sz w:val="32"/>
          <w:szCs w:val="32"/>
        </w:rPr>
        <w:t>十二、政府采购预算表</w:t>
      </w:r>
    </w:p>
    <w:p>
      <w:pPr>
        <w:widowControl/>
        <w:jc w:val="left"/>
        <w:rPr>
          <w:rFonts w:ascii="楷体_GB2312" w:eastAsia="楷体_GB2312"/>
          <w:kern w:val="0"/>
          <w:sz w:val="32"/>
          <w:szCs w:val="32"/>
        </w:rPr>
        <w:sectPr>
          <w:pgSz w:w="11906" w:h="16838"/>
          <w:pgMar w:top="1588" w:right="1531" w:bottom="1588" w:left="1531" w:header="851" w:footer="850" w:gutter="0"/>
          <w:pgNumType w:fmt="upperRoman" w:start="1" w:chapStyle="1"/>
          <w:cols w:space="720" w:num="1"/>
          <w:docGrid w:type="lines" w:linePitch="312" w:charSpace="0"/>
        </w:sectPr>
      </w:pPr>
    </w:p>
    <w:p>
      <w:pPr>
        <w:spacing w:beforeLines="50" w:afterLines="50"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ind w:firstLine="640"/>
        <w:jc w:val="left"/>
        <w:rPr>
          <w:rFonts w:ascii="黑体" w:hAnsi="黑体" w:eastAsia="黑体"/>
          <w:sz w:val="32"/>
          <w:szCs w:val="32"/>
        </w:rPr>
      </w:pPr>
      <w:r>
        <w:rPr>
          <w:rFonts w:hint="eastAsia" w:ascii="黑体" w:hAnsi="黑体" w:eastAsia="黑体"/>
          <w:sz w:val="32"/>
          <w:szCs w:val="32"/>
        </w:rPr>
        <w:t>一、主要职能</w:t>
      </w:r>
    </w:p>
    <w:p>
      <w:pPr>
        <w:spacing w:line="600" w:lineRule="exact"/>
        <w:ind w:firstLine="640" w:firstLineChars="200"/>
        <w:rPr>
          <w:rFonts w:ascii="仿宋_GB2312" w:eastAsia="仿宋_GB2312"/>
          <w:sz w:val="32"/>
          <w:szCs w:val="32"/>
        </w:rPr>
      </w:pPr>
      <w:r>
        <w:rPr>
          <w:rFonts w:hint="eastAsia" w:ascii="楷体_GB2312" w:eastAsia="楷体_GB2312"/>
          <w:bCs/>
          <w:sz w:val="32"/>
          <w:szCs w:val="32"/>
        </w:rPr>
        <w:t>主要职责任务</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.保障局机关和局属单位数据安全、网络安全</w:t>
      </w:r>
      <w:r>
        <w:rPr>
          <w:rFonts w:ascii="仿宋_GB2312" w:eastAsia="仿宋_GB2312"/>
          <w:sz w:val="32"/>
          <w:szCs w:val="32"/>
        </w:rPr>
        <w:t>,</w:t>
      </w:r>
      <w:r>
        <w:rPr>
          <w:rFonts w:hint="eastAsia" w:ascii="仿宋_GB2312" w:eastAsia="仿宋_GB2312"/>
          <w:sz w:val="32"/>
          <w:szCs w:val="32"/>
        </w:rPr>
        <w:t>并提供技术支撑及服务。</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.承担统计调查数据处理和技术支持工作。</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.承担统计系统、数据的日常维护等工作。</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.提供有关统计工作的业务咨询和服务。</w:t>
      </w:r>
    </w:p>
    <w:p>
      <w:pPr>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.承担局机关后勤保障工作。</w:t>
      </w:r>
    </w:p>
    <w:p>
      <w:pPr>
        <w:spacing w:line="60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.承担市统计局交办的其它相关工作。</w:t>
      </w:r>
    </w:p>
    <w:p>
      <w:pPr>
        <w:widowControl/>
        <w:ind w:firstLine="480"/>
        <w:jc w:val="left"/>
        <w:rPr>
          <w:rFonts w:ascii="黑体" w:hAnsi="黑体" w:eastAsia="黑体" w:cs="宋体"/>
          <w:color w:val="000000"/>
          <w:kern w:val="0"/>
          <w:sz w:val="32"/>
          <w:szCs w:val="32"/>
        </w:rPr>
      </w:pPr>
    </w:p>
    <w:p>
      <w:pPr>
        <w:widowControl/>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hint="eastAsia" w:ascii="黑体" w:hAnsi="黑体" w:eastAsia="黑体"/>
          <w:sz w:val="32"/>
          <w:szCs w:val="32"/>
        </w:rPr>
        <w:t>机构设置及预算单位构成情况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呼和浩特市统计局综合保障中心，为市统计局所属正科级公益一类事业单位。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核定事业编制22名。核定单位科级领导职数3名（1正2副）。</w:t>
      </w:r>
    </w:p>
    <w:p>
      <w:pPr>
        <w:widowControl/>
        <w:ind w:firstLine="480"/>
        <w:jc w:val="left"/>
        <w:rPr>
          <w:rFonts w:ascii="仿宋" w:hAnsi="仿宋" w:eastAsia="仿宋" w:cs="宋体"/>
          <w:color w:val="000000"/>
          <w:kern w:val="0"/>
          <w:sz w:val="24"/>
        </w:rPr>
      </w:pPr>
    </w:p>
    <w:p>
      <w:pPr>
        <w:widowControl/>
        <w:shd w:val="clear" w:color="auto" w:fill="FFFFFF"/>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32"/>
          <w:szCs w:val="32"/>
        </w:rPr>
        <w:t xml:space="preserve">                  </w:t>
      </w:r>
    </w:p>
    <w:p>
      <w:pPr>
        <w:spacing w:beforeLines="50" w:afterLines="50" w:line="560" w:lineRule="exact"/>
        <w:jc w:val="center"/>
        <w:rPr>
          <w:rFonts w:ascii="楷体_GB2312" w:eastAsia="楷体_GB2312"/>
          <w:b/>
          <w:sz w:val="36"/>
          <w:szCs w:val="36"/>
        </w:rPr>
      </w:pPr>
      <w:r>
        <w:rPr>
          <w:rFonts w:hint="eastAsia" w:ascii="楷体_GB2312" w:eastAsia="楷体_GB2312"/>
          <w:b/>
          <w:sz w:val="36"/>
          <w:szCs w:val="36"/>
        </w:rPr>
        <w:t>第二部分   2022年部门预算安排情况说明</w:t>
      </w:r>
    </w:p>
    <w:p>
      <w:pPr>
        <w:spacing w:line="560" w:lineRule="exact"/>
        <w:ind w:firstLine="640" w:firstLineChars="200"/>
        <w:rPr>
          <w:rFonts w:ascii="黑体" w:eastAsia="黑体"/>
          <w:sz w:val="36"/>
          <w:szCs w:val="36"/>
        </w:rPr>
      </w:pPr>
      <w:r>
        <w:rPr>
          <w:rFonts w:hint="eastAsia" w:ascii="黑体" w:hAnsi="黑体" w:eastAsia="黑体"/>
          <w:color w:val="000000"/>
          <w:sz w:val="32"/>
          <w:szCs w:val="32"/>
        </w:rPr>
        <w:t>一、部门预算收支总体情况说明</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收入预算298.21万元，比2021年预算减少3.25万元，减少1.08%，减少原因是2022年比2021年减少了1名在职人员，相应减少了人员经费。</w:t>
      </w:r>
    </w:p>
    <w:p>
      <w:pPr>
        <w:adjustRightInd w:val="0"/>
        <w:snapToGrid w:val="0"/>
        <w:spacing w:line="560" w:lineRule="exact"/>
        <w:ind w:firstLine="640"/>
        <w:rPr>
          <w:rFonts w:ascii="仿宋_GB2312" w:eastAsia="仿宋_GB2312"/>
          <w:sz w:val="32"/>
          <w:szCs w:val="32"/>
        </w:rPr>
      </w:pP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支出预算298.21万元，比2021年预算减少3.25万元，减少1.08%，减少原因是2022年比2021年减少了1名在职人员，相应减少了人员经费。</w:t>
      </w:r>
    </w:p>
    <w:p>
      <w:pPr>
        <w:adjustRightInd w:val="0"/>
        <w:snapToGrid w:val="0"/>
        <w:spacing w:line="560" w:lineRule="exact"/>
        <w:ind w:firstLine="640"/>
        <w:rPr>
          <w:rFonts w:ascii="黑体" w:hAnsi="黑体" w:eastAsia="黑体"/>
          <w:color w:val="000000"/>
          <w:sz w:val="32"/>
          <w:szCs w:val="32"/>
        </w:rPr>
      </w:pPr>
      <w:r>
        <w:rPr>
          <w:rFonts w:hint="eastAsia" w:ascii="楷体_GB2312" w:hAnsi="黑体" w:eastAsia="楷体_GB2312"/>
          <w:sz w:val="32"/>
          <w:szCs w:val="32"/>
        </w:rPr>
        <w:t>（一）部门预算收入情况说明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部门预算收入298.21万元，其中：一般公共预算拨款收入298.21万元，占比100 %。</w:t>
      </w:r>
    </w:p>
    <w:p>
      <w:pPr>
        <w:adjustRightInd w:val="0"/>
        <w:snapToGrid w:val="0"/>
        <w:spacing w:line="56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（二）部门预算支出情况说明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部门预算支出298.21万元，其中：基本支出292.31万元，占比98.02%；项目支出5.9万元，占比1.98%。</w:t>
      </w:r>
    </w:p>
    <w:p>
      <w:pPr>
        <w:adjustRightInd w:val="0"/>
        <w:snapToGrid w:val="0"/>
        <w:spacing w:line="560" w:lineRule="exact"/>
        <w:ind w:firstLine="640"/>
        <w:rPr>
          <w:rFonts w:ascii="仿宋_GB2312" w:hAnsi="黑体" w:eastAsia="仿宋_GB2312"/>
          <w:color w:val="000000"/>
          <w:sz w:val="32"/>
          <w:szCs w:val="32"/>
        </w:rPr>
      </w:pPr>
      <w:r>
        <w:rPr>
          <w:rFonts w:hint="eastAsia" w:ascii="仿宋_GB2312" w:eastAsia="仿宋_GB2312"/>
          <w:sz w:val="32"/>
          <w:szCs w:val="32"/>
        </w:rPr>
        <w:t>主要用于本单位的机构运转、人员工资、住房公积金、社会保障缴费等方面支出。</w:t>
      </w:r>
    </w:p>
    <w:p>
      <w:pPr>
        <w:spacing w:line="56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6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60" w:lineRule="exact"/>
        <w:ind w:firstLine="640" w:firstLineChars="200"/>
        <w:rPr>
          <w:rFonts w:ascii="仿宋_GB2312" w:eastAsia="仿宋_GB2312"/>
          <w:b/>
          <w:sz w:val="36"/>
          <w:szCs w:val="36"/>
        </w:rPr>
      </w:pPr>
      <w:r>
        <w:rPr>
          <w:rFonts w:hint="eastAsia" w:ascii="仿宋_GB2312" w:eastAsia="仿宋_GB2312"/>
          <w:sz w:val="32"/>
          <w:szCs w:val="32"/>
        </w:rPr>
        <w:t>财政拨款收支预算298.21万元，包括：一般公共预算财政拨款298.21万元，。</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60" w:lineRule="exact"/>
        <w:ind w:firstLine="640"/>
        <w:rPr>
          <w:rFonts w:ascii="仿宋_GB2312" w:eastAsia="仿宋_GB2312"/>
          <w:sz w:val="32"/>
          <w:szCs w:val="32"/>
        </w:rPr>
      </w:pPr>
      <w:r>
        <w:rPr>
          <w:rFonts w:hint="eastAsia" w:ascii="仿宋_GB2312" w:eastAsia="仿宋_GB2312"/>
          <w:b/>
          <w:sz w:val="32"/>
          <w:szCs w:val="32"/>
        </w:rPr>
        <w:t>1.一般公共服务类</w:t>
      </w:r>
      <w:r>
        <w:rPr>
          <w:rFonts w:hint="eastAsia" w:ascii="仿宋_GB2312" w:eastAsia="仿宋_GB2312"/>
          <w:sz w:val="32"/>
          <w:szCs w:val="32"/>
        </w:rPr>
        <w:t>210.59万元，比上年预算数减少  4.89万元。减少原因是2022年比2021年减少了1名在职人员，相应减少了人员经费。</w:t>
      </w:r>
    </w:p>
    <w:p>
      <w:pPr>
        <w:adjustRightInd w:val="0"/>
        <w:snapToGrid w:val="0"/>
        <w:spacing w:line="560" w:lineRule="exact"/>
        <w:ind w:firstLine="640" w:firstLineChars="200"/>
        <w:rPr>
          <w:rFonts w:ascii="仿宋_GB2312" w:eastAsia="仿宋_GB2312"/>
          <w:sz w:val="32"/>
          <w:szCs w:val="32"/>
        </w:rPr>
      </w:pPr>
      <w:r>
        <w:rPr>
          <w:rFonts w:hint="eastAsia" w:eastAsia="仿宋_GB2312"/>
          <w:sz w:val="32"/>
          <w:szCs w:val="32"/>
        </w:rPr>
        <w:t>主要用于本</w:t>
      </w:r>
      <w:r>
        <w:rPr>
          <w:rFonts w:hint="eastAsia" w:ascii="仿宋_GB2312" w:eastAsia="仿宋_GB2312"/>
          <w:sz w:val="32"/>
          <w:szCs w:val="32"/>
        </w:rPr>
        <w:t>单位的人员工资、津贴补贴、职工体检、工伤保险缴费和机构运转等方面的支出。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 xml:space="preserve">社会保障和就业类47.96 </w:t>
      </w:r>
      <w:r>
        <w:rPr>
          <w:rFonts w:hint="eastAsia" w:ascii="仿宋_GB2312" w:eastAsia="仿宋_GB2312"/>
          <w:sz w:val="32"/>
          <w:szCs w:val="32"/>
        </w:rPr>
        <w:t>万元，比上年预算数增加6.23万元。增加原因是2022年比2021年增加了在职人员年度内退休人员需要一次性对从2014年10月开始记账的职业年金单位部分进行补缴，相应增加了人员经费。</w:t>
      </w:r>
      <w:r>
        <w:rPr>
          <w:rFonts w:hint="eastAsia" w:eastAsia="仿宋_GB2312"/>
          <w:sz w:val="32"/>
          <w:szCs w:val="32"/>
        </w:rPr>
        <w:t>主要用于</w:t>
      </w:r>
      <w:r>
        <w:rPr>
          <w:rFonts w:hint="eastAsia" w:ascii="仿宋_GB2312" w:eastAsia="仿宋_GB2312"/>
          <w:sz w:val="32"/>
          <w:szCs w:val="32"/>
        </w:rPr>
        <w:t>单位的退休人员退休费发放、养老保险单位部分的缴纳以及职业年金单位部分的虚账做实等方面的支出。</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 xml:space="preserve">    3、</w:t>
      </w:r>
      <w:r>
        <w:rPr>
          <w:rFonts w:hint="eastAsia" w:ascii="仿宋_GB2312" w:eastAsia="仿宋_GB2312"/>
          <w:b/>
          <w:sz w:val="32"/>
          <w:szCs w:val="32"/>
        </w:rPr>
        <w:t>卫生健康支出类</w:t>
      </w:r>
      <w:r>
        <w:rPr>
          <w:rFonts w:hint="eastAsia" w:eastAsia="仿宋_GB2312"/>
          <w:sz w:val="32"/>
          <w:szCs w:val="32"/>
        </w:rPr>
        <w:t>9</w:t>
      </w:r>
      <w:r>
        <w:rPr>
          <w:rFonts w:eastAsia="仿宋_GB2312"/>
          <w:sz w:val="32"/>
          <w:szCs w:val="32"/>
        </w:rPr>
        <w:t>.</w:t>
      </w:r>
      <w:r>
        <w:rPr>
          <w:rFonts w:hint="eastAsia" w:eastAsia="仿宋_GB2312"/>
          <w:sz w:val="32"/>
          <w:szCs w:val="32"/>
        </w:rPr>
        <w:t>68</w:t>
      </w:r>
      <w:r>
        <w:rPr>
          <w:rFonts w:eastAsia="仿宋_GB2312"/>
          <w:sz w:val="32"/>
          <w:szCs w:val="32"/>
        </w:rPr>
        <w:t xml:space="preserve"> </w:t>
      </w:r>
      <w:r>
        <w:rPr>
          <w:rFonts w:hint="eastAsia" w:eastAsia="仿宋_GB2312"/>
          <w:sz w:val="32"/>
          <w:szCs w:val="32"/>
        </w:rPr>
        <w:t>万元，</w:t>
      </w:r>
      <w:r>
        <w:rPr>
          <w:rFonts w:hint="eastAsia" w:ascii="仿宋_GB2312" w:eastAsia="仿宋_GB2312"/>
          <w:sz w:val="32"/>
          <w:szCs w:val="32"/>
        </w:rPr>
        <w:t>比上年预算数减少1.42万元。减少原因是2022年比2021年减少了1名在职人员，相应减少了人员经费。</w:t>
      </w:r>
      <w:r>
        <w:rPr>
          <w:rFonts w:hint="eastAsia" w:eastAsia="仿宋_GB2312"/>
          <w:sz w:val="32"/>
          <w:szCs w:val="32"/>
        </w:rPr>
        <w:t>主要用于</w:t>
      </w:r>
      <w:r>
        <w:rPr>
          <w:rFonts w:hint="eastAsia" w:ascii="仿宋_GB2312" w:eastAsia="仿宋_GB2312"/>
          <w:sz w:val="32"/>
          <w:szCs w:val="32"/>
        </w:rPr>
        <w:t>单位的基本医疗保险单位部分的缴纳、大病医疗保险以及医疗照护保险等方面的支出。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4、住房保障支出类29.99万元，比上年预算数减少  3.16 万元。减少原因是2022年比2021年减少了1名在职人员，相应减少了人员经费。</w:t>
      </w:r>
      <w:r>
        <w:rPr>
          <w:rFonts w:hint="eastAsia" w:eastAsia="仿宋_GB2312"/>
          <w:sz w:val="32"/>
          <w:szCs w:val="32"/>
        </w:rPr>
        <w:t>主要用于</w:t>
      </w:r>
      <w:r>
        <w:rPr>
          <w:rFonts w:hint="eastAsia" w:ascii="仿宋_GB2312" w:eastAsia="仿宋_GB2312"/>
          <w:sz w:val="32"/>
          <w:szCs w:val="32"/>
        </w:rPr>
        <w:t>单位在职人员住房公积金单位部分的缴纳以及新职工住房货币化补助等方面的支出。</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我单位无政府性基金财政拨款预算，基金与上年度相比无增减变化。</w:t>
      </w:r>
    </w:p>
    <w:p>
      <w:pPr>
        <w:adjustRightInd w:val="0"/>
        <w:snapToGrid w:val="0"/>
        <w:spacing w:line="560" w:lineRule="exact"/>
        <w:ind w:firstLine="640" w:firstLineChars="200"/>
        <w:rPr>
          <w:rFonts w:eastAsia="仿宋_GB2312"/>
          <w:sz w:val="32"/>
          <w:szCs w:val="32"/>
        </w:rPr>
      </w:pPr>
      <w:r>
        <w:rPr>
          <w:rFonts w:hint="eastAsia" w:ascii="黑体" w:hAnsi="黑体" w:eastAsia="黑体"/>
          <w:color w:val="000000"/>
          <w:sz w:val="32"/>
          <w:szCs w:val="32"/>
        </w:rPr>
        <w:t>四、财政拨款“三公”经费预算情况说明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财政拨款“三公”经费支出预算0万元，与上年预算相比无增减变化。公务用车运行维护费本年预算比上年执行数增加0 万元，无增减变化。原因是2022年度与2021年度均无公务用车运行维护费的年度预算，两个年度内均没有发生支出。公务接待费用未安排预算，年度内也没有发生支出。其中：</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1、因公出国（境）费用0万元，与上年预算数持平，本年没有列入预算。</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2、公务接待费0 万元，与上年预算数持平，本年预算数比上年执行数增加0万元，无增减变化，原因是2021年度公务接待费用没有发生。</w:t>
      </w:r>
    </w:p>
    <w:p>
      <w:pPr>
        <w:adjustRightInd w:val="0"/>
        <w:snapToGrid w:val="0"/>
        <w:spacing w:line="560" w:lineRule="exact"/>
        <w:ind w:left="159" w:leftChars="76" w:firstLine="480" w:firstLineChars="150"/>
        <w:rPr>
          <w:rFonts w:ascii="仿宋_GB2312" w:eastAsia="仿宋_GB2312"/>
          <w:sz w:val="32"/>
          <w:szCs w:val="32"/>
        </w:rPr>
      </w:pPr>
      <w:r>
        <w:rPr>
          <w:rFonts w:hint="eastAsia" w:ascii="仿宋_GB2312" w:eastAsia="仿宋_GB2312"/>
          <w:sz w:val="32"/>
          <w:szCs w:val="32"/>
        </w:rPr>
        <w:t>3、公务用车购置及运行维护费0万元，与上年预算持平。本年预算比上年执行数增加0 万元，无增减变化。本年预算与上年执行数持平。其中，公务用车购置0万元，与上年预算持平；公务用车运行维护费0万元，本年预算与上年预算相比无增减变化，没有公务用车所以没有发生公务用车运行维护费用。</w:t>
      </w:r>
    </w:p>
    <w:p>
      <w:pPr>
        <w:adjustRightInd w:val="0"/>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机关运行经费，是指各部门的公用经费，包括办公费、邮电费、差旅费、会议费、福利费、日常维修费、一般设备购置费、公务用车运行维护费、公务接待费以及其他费用。</w:t>
      </w:r>
    </w:p>
    <w:p>
      <w:pPr>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2022年，我单位运行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rPr>
        <w:t>14.97万元，比上年</w:t>
      </w:r>
      <w:r>
        <w:rPr>
          <w:rFonts w:hint="eastAsia" w:ascii="仿宋_GB2312" w:eastAsia="仿宋_GB2312"/>
          <w:sz w:val="32"/>
          <w:szCs w:val="32"/>
        </w:rPr>
        <w:t>减少2.06</w:t>
      </w:r>
      <w:r>
        <w:rPr>
          <w:rFonts w:hint="eastAsia" w:ascii="仿宋_GB2312" w:eastAsia="仿宋_GB2312"/>
          <w:color w:val="000000"/>
          <w:sz w:val="32"/>
          <w:szCs w:val="32"/>
        </w:rPr>
        <w:t>万元，减少15.96</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主要原因是单位在职人员预算基数降低导致有关的运行经费减少。</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政府采购预算总额0万元，其中：政府采购货物预算0万元，政府采购工程预算0万元，政府采购服务预算0万元。</w:t>
      </w:r>
    </w:p>
    <w:p>
      <w:pPr>
        <w:snapToGrid w:val="0"/>
        <w:spacing w:line="56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截至2020年末，车辆全部上交，单位价值200万元以上大型设备0台（套）。</w:t>
      </w:r>
    </w:p>
    <w:p>
      <w:pPr>
        <w:snapToGrid w:val="0"/>
        <w:spacing w:line="56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2022年度项目支出绩效目标情况说明</w:t>
      </w:r>
    </w:p>
    <w:p>
      <w:pPr>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ind w:firstLine="640" w:firstLineChars="200"/>
        <w:rPr>
          <w:rFonts w:ascii="仿宋_GB2312" w:eastAsia="仿宋_GB2312"/>
          <w:sz w:val="32"/>
          <w:szCs w:val="32"/>
        </w:rPr>
      </w:pPr>
      <w:r>
        <w:rPr>
          <w:rFonts w:hint="eastAsia" w:ascii="仿宋_GB2312" w:eastAsia="仿宋_GB2312"/>
          <w:sz w:val="32"/>
          <w:szCs w:val="32"/>
        </w:rPr>
        <w:t>2022年，填报绩效目标的预算项目2个，</w:t>
      </w:r>
      <w:bookmarkStart w:id="0" w:name="OLE_LINK1"/>
      <w:r>
        <w:rPr>
          <w:rFonts w:hint="eastAsia" w:ascii="仿宋_GB2312" w:eastAsia="仿宋_GB2312"/>
          <w:sz w:val="32"/>
          <w:szCs w:val="32"/>
        </w:rPr>
        <w:t>公开绩效目标2个，公开项目占全部预算项目的100%。</w:t>
      </w:r>
      <w:bookmarkEnd w:id="0"/>
      <w:r>
        <w:rPr>
          <w:rFonts w:hint="eastAsia" w:ascii="仿宋_GB2312" w:eastAsia="仿宋_GB2312"/>
          <w:sz w:val="32"/>
          <w:szCs w:val="32"/>
        </w:rPr>
        <w:t>公开填报绩效目标的项目支出预算5.9万元，占全部项目支出预算的100%。</w:t>
      </w:r>
    </w:p>
    <w:p>
      <w:pPr>
        <w:adjustRightInd w:val="0"/>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是指呼市本级财政当年拨付的资金。</w:t>
      </w:r>
    </w:p>
    <w:p>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6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：是指为保障机构正常运转，完成日常工作任务而发生的人员支出和公用支出。</w:t>
      </w:r>
    </w:p>
    <w:p>
      <w:pPr>
        <w:snapToGrid w:val="0"/>
        <w:spacing w:line="56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6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用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联系人：兰淑根        联系电话：0471-4609172</w:t>
      </w:r>
    </w:p>
    <w:p>
      <w:pPr>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ind w:firstLine="640" w:firstLineChars="200"/>
        <w:rPr>
          <w:rFonts w:ascii="仿宋_GB2312" w:eastAsia="仿宋_GB2312"/>
          <w:sz w:val="32"/>
          <w:szCs w:val="32"/>
        </w:rPr>
      </w:pPr>
      <w:r>
        <w:rPr>
          <w:rFonts w:hint="eastAsia" w:ascii="仿宋_GB2312" w:hAnsi="黑体" w:eastAsia="仿宋_GB2312"/>
          <w:color w:val="000000"/>
          <w:sz w:val="32"/>
          <w:szCs w:val="32"/>
        </w:rPr>
        <w:t>详见附表：部门预算公开8张表以总表形式上传，项目支出绩效目标表以总表形式上传。（样式见自治区部门预算公开样式）</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6041"/>
    <w:rsid w:val="000A4110"/>
    <w:rsid w:val="000A6954"/>
    <w:rsid w:val="00133671"/>
    <w:rsid w:val="00242F20"/>
    <w:rsid w:val="00286041"/>
    <w:rsid w:val="002D59DF"/>
    <w:rsid w:val="00376600"/>
    <w:rsid w:val="00435131"/>
    <w:rsid w:val="005A1B05"/>
    <w:rsid w:val="005C3402"/>
    <w:rsid w:val="00604ACD"/>
    <w:rsid w:val="006E503D"/>
    <w:rsid w:val="00711CA1"/>
    <w:rsid w:val="0076225A"/>
    <w:rsid w:val="007971BF"/>
    <w:rsid w:val="007A59D6"/>
    <w:rsid w:val="00845CAD"/>
    <w:rsid w:val="008A0765"/>
    <w:rsid w:val="009268B7"/>
    <w:rsid w:val="009D2B67"/>
    <w:rsid w:val="00A07A65"/>
    <w:rsid w:val="00A31232"/>
    <w:rsid w:val="00B76EA3"/>
    <w:rsid w:val="00BA0631"/>
    <w:rsid w:val="00BA0969"/>
    <w:rsid w:val="00BF1EA1"/>
    <w:rsid w:val="00C71A1C"/>
    <w:rsid w:val="00C764A9"/>
    <w:rsid w:val="00C85663"/>
    <w:rsid w:val="00D40B0A"/>
    <w:rsid w:val="00D54FF7"/>
    <w:rsid w:val="00D704B2"/>
    <w:rsid w:val="00D76FFB"/>
    <w:rsid w:val="00DB6EF2"/>
    <w:rsid w:val="00E07765"/>
    <w:rsid w:val="00E30EBF"/>
    <w:rsid w:val="00E44AC6"/>
    <w:rsid w:val="00E6601E"/>
    <w:rsid w:val="00EB3E1A"/>
    <w:rsid w:val="00F15CD6"/>
    <w:rsid w:val="00F25F0F"/>
    <w:rsid w:val="00F77D28"/>
    <w:rsid w:val="00FA0F53"/>
    <w:rsid w:val="6D97A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10</Pages>
  <Words>556</Words>
  <Characters>3172</Characters>
  <Lines>26</Lines>
  <Paragraphs>7</Paragraphs>
  <TotalTime>307</TotalTime>
  <ScaleCrop>false</ScaleCrop>
  <LinksUpToDate>false</LinksUpToDate>
  <CharactersWithSpaces>3721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2022-03-16T09:48:00Z</dcterms:created>
  <dc:creator>Windows User</dc:creator>
  <cp:lastModifiedBy>casic</cp:lastModifiedBy>
  <dcterms:modified xsi:type="dcterms:W3CDTF">2022-03-23T10:24:46Z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