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r>
        <w:rPr>
          <w:rFonts w:hint="eastAsia" w:ascii="宋体" w:hAnsi="宋体"/>
          <w:b/>
          <w:sz w:val="44"/>
          <w:szCs w:val="44"/>
        </w:rPr>
        <w:t>内蒙古自治区呼和浩特市统计综合行政执法</w:t>
      </w:r>
    </w:p>
    <w:p>
      <w:pPr>
        <w:spacing w:line="560" w:lineRule="exact"/>
        <w:jc w:val="center"/>
        <w:rPr>
          <w:rFonts w:ascii="宋体" w:hAnsi="宋体"/>
          <w:b/>
          <w:sz w:val="44"/>
          <w:szCs w:val="44"/>
        </w:rPr>
      </w:pPr>
      <w:r>
        <w:rPr>
          <w:rFonts w:hint="eastAsia" w:ascii="宋体" w:hAnsi="宋体"/>
          <w:b/>
          <w:sz w:val="44"/>
          <w:szCs w:val="44"/>
        </w:rPr>
        <w:t>支队</w:t>
      </w:r>
      <w:r>
        <w:rPr>
          <w:rFonts w:ascii="宋体" w:hAnsi="宋体"/>
          <w:b/>
          <w:sz w:val="44"/>
          <w:szCs w:val="44"/>
        </w:rPr>
        <w:t>20</w:t>
      </w:r>
      <w:r>
        <w:rPr>
          <w:rFonts w:hint="eastAsia" w:ascii="宋体" w:hAnsi="宋体"/>
          <w:b/>
          <w:sz w:val="44"/>
          <w:szCs w:val="44"/>
        </w:rPr>
        <w:t>22年部门预算公开报告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2022年3  月18 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bookmarkStart w:id="1" w:name="_GoBack"/>
      <w:bookmarkEnd w:id="1"/>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2022年部门预算公开表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二、部门收入预算总表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三、部门支出预算总表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五、一般公共预算财政拨款支出预算表</w:t>
      </w:r>
    </w:p>
    <w:p>
      <w:pPr>
        <w:spacing w:line="336" w:lineRule="auto"/>
        <w:rPr>
          <w:rFonts w:ascii="楷体_GB2312" w:eastAsia="楷体_GB2312"/>
          <w:sz w:val="32"/>
          <w:szCs w:val="32"/>
        </w:rPr>
      </w:pPr>
      <w:r>
        <w:rPr>
          <w:rFonts w:hint="eastAsia" w:ascii="楷体_GB2312" w:hAnsi="黑体" w:eastAsia="楷体_GB2312"/>
          <w:color w:val="000000"/>
          <w:sz w:val="32"/>
          <w:szCs w:val="32"/>
        </w:rPr>
        <w:t xml:space="preserve">    六、一般公共预算财政拨款基本支出预算表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七、财政拨款“三公”经费支出预算表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八、政府性基金预算财政拨款支出预算表</w:t>
      </w:r>
    </w:p>
    <w:p>
      <w:pPr>
        <w:ind w:firstLine="640" w:firstLineChars="200"/>
        <w:rPr>
          <w:rFonts w:ascii="楷体_GB2312" w:eastAsia="楷体_GB2312"/>
          <w:sz w:val="32"/>
          <w:szCs w:val="32"/>
        </w:rPr>
      </w:pPr>
      <w:r>
        <w:rPr>
          <w:rFonts w:hint="eastAsia" w:ascii="楷体_GB2312" w:eastAsia="楷体_GB2312"/>
          <w:sz w:val="32"/>
          <w:szCs w:val="32"/>
        </w:rPr>
        <w:t>九、国有资本经营预算表</w:t>
      </w:r>
    </w:p>
    <w:p>
      <w:pPr>
        <w:ind w:firstLine="640" w:firstLineChars="200"/>
        <w:rPr>
          <w:rFonts w:ascii="楷体_GB2312" w:eastAsia="楷体_GB2312"/>
          <w:sz w:val="32"/>
          <w:szCs w:val="32"/>
        </w:rPr>
      </w:pPr>
      <w:r>
        <w:rPr>
          <w:rFonts w:hint="eastAsia" w:ascii="楷体_GB2312" w:eastAsia="楷体_GB2312"/>
          <w:sz w:val="32"/>
          <w:szCs w:val="32"/>
        </w:rPr>
        <w:t>十、部门项目支出表</w:t>
      </w:r>
    </w:p>
    <w:p>
      <w:pPr>
        <w:ind w:firstLine="640" w:firstLineChars="200"/>
        <w:rPr>
          <w:rFonts w:ascii="楷体_GB2312" w:hAnsi="黑体" w:eastAsia="楷体_GB2312"/>
          <w:sz w:val="32"/>
          <w:szCs w:val="32"/>
        </w:rPr>
      </w:pPr>
      <w:r>
        <w:rPr>
          <w:rFonts w:hint="eastAsia" w:ascii="楷体_GB2312" w:hAnsi="黑体" w:eastAsia="楷体_GB2312"/>
          <w:sz w:val="32"/>
          <w:szCs w:val="32"/>
        </w:rPr>
        <w:t>十一、项目支出绩效目标申报表</w:t>
      </w:r>
    </w:p>
    <w:p>
      <w:pPr>
        <w:ind w:firstLine="640" w:firstLineChars="200"/>
        <w:rPr>
          <w:rFonts w:ascii="楷体_GB2312" w:eastAsia="楷体_GB2312"/>
          <w:sz w:val="32"/>
          <w:szCs w:val="32"/>
        </w:rPr>
      </w:pPr>
      <w:r>
        <w:rPr>
          <w:rFonts w:hint="eastAsia" w:ascii="楷体_GB2312" w:hAnsi="黑体" w:eastAsia="楷体_GB2312"/>
          <w:sz w:val="32"/>
          <w:szCs w:val="32"/>
        </w:rPr>
        <w:t>十二、政府采购预算表</w:t>
      </w:r>
    </w:p>
    <w:p>
      <w:pPr>
        <w:spacing w:line="560" w:lineRule="exact"/>
        <w:ind w:firstLine="640" w:firstLineChars="200"/>
        <w:rPr>
          <w:rFonts w:ascii="楷体_GB2312" w:eastAsia="楷体_GB2312"/>
          <w:sz w:val="32"/>
          <w:szCs w:val="32"/>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ind w:firstLine="640"/>
        <w:jc w:val="left"/>
        <w:rPr>
          <w:rFonts w:ascii="黑体" w:hAnsi="黑体" w:eastAsia="黑体"/>
          <w:sz w:val="32"/>
          <w:szCs w:val="32"/>
        </w:rPr>
      </w:pPr>
      <w:r>
        <w:rPr>
          <w:rFonts w:hint="eastAsia" w:ascii="黑体" w:hAnsi="黑体" w:eastAsia="黑体"/>
          <w:sz w:val="32"/>
          <w:szCs w:val="32"/>
        </w:rPr>
        <w:t>一、主要职能</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主要职责任务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依据相关法律、法规、规章规定，在法定权限内，根据市统计局的委托，承担市辖区内的统计执法监督检查工作，以市统计局的名义行使统计领域的行政处罚权以及与行政处罚相关的行政检查、行政强制职能。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2.对各旗县统计综合行政执法工作进行监督指导，承担跨区域执法的组织协调、重大案件查处工作。承担统计法制宣传和培训工作。</w:t>
      </w:r>
    </w:p>
    <w:p>
      <w:pPr>
        <w:widowControl/>
        <w:ind w:firstLine="480"/>
        <w:jc w:val="left"/>
        <w:rPr>
          <w:rFonts w:ascii="仿宋_GB2312" w:eastAsia="仿宋_GB2312"/>
          <w:sz w:val="32"/>
          <w:szCs w:val="32"/>
        </w:rPr>
      </w:pPr>
      <w:r>
        <w:rPr>
          <w:rFonts w:hint="eastAsia" w:ascii="仿宋_GB2312" w:eastAsia="仿宋_GB2312"/>
          <w:sz w:val="32"/>
          <w:szCs w:val="32"/>
        </w:rPr>
        <w:t>3.完成市统计局交办的其他工作任务。</w:t>
      </w:r>
    </w:p>
    <w:p>
      <w:pPr>
        <w:widowControl/>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sz w:val="32"/>
          <w:szCs w:val="32"/>
        </w:rPr>
        <w:t>机构设置及预算单位构成情况</w:t>
      </w:r>
    </w:p>
    <w:p>
      <w:pPr>
        <w:spacing w:line="580" w:lineRule="exact"/>
        <w:ind w:firstLine="600"/>
        <w:rPr>
          <w:rFonts w:ascii="仿宋_GB2312" w:eastAsia="仿宋_GB2312"/>
          <w:sz w:val="32"/>
          <w:szCs w:val="32"/>
        </w:rPr>
      </w:pPr>
      <w:r>
        <w:rPr>
          <w:rFonts w:hint="eastAsia" w:ascii="仿宋_GB2312" w:eastAsia="仿宋_GB2312"/>
          <w:sz w:val="32"/>
          <w:szCs w:val="32"/>
        </w:rPr>
        <w:t>呼和浩特市统计综合行政执法支队，为市统计局所属正科级执法机构。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核定事业编制10名，核定单位科级领导职数3名（1正2副）。</w:t>
      </w:r>
    </w:p>
    <w:p>
      <w:pPr>
        <w:widowControl/>
        <w:shd w:val="clear" w:color="auto" w:fill="FFFFFF"/>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32"/>
          <w:szCs w:val="32"/>
        </w:rPr>
        <w:t xml:space="preserve">                  </w:t>
      </w: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第二部分   2022年部门预算安排情况说明</w:t>
      </w: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收入预算141.3万元，比2021年预算增加了 11.03万元，增加 8.47%，增加原因是2022年比2021年增加了人员工资津贴补贴，相应增加了人员经费。</w:t>
      </w:r>
    </w:p>
    <w:p>
      <w:pPr>
        <w:adjustRightInd w:val="0"/>
        <w:snapToGrid w:val="0"/>
        <w:spacing w:line="560" w:lineRule="exact"/>
        <w:ind w:firstLine="640"/>
        <w:rPr>
          <w:rFonts w:ascii="仿宋_GB2312" w:eastAsia="仿宋_GB2312"/>
          <w:sz w:val="32"/>
          <w:szCs w:val="32"/>
        </w:rPr>
      </w:pP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支出预算141.3万元，比2021年预算增加了 11.03万元，增加 8.47%，增加原因是2022年比2021年增加了人员工资津贴补贴，相应增加了人员经费。</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部门预算收入141.3万元，其中：一般公共预算拨款收入141.3万元，占比100 %。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部门预算支出141.3万元，其中：基本支出138.8万元，占比98.23 %；项目支出2.5万元，占比1.77%。</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主要用于本单位的机构运转、社会保障等方面支出。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财政拨款收支预算141.3万元，包括：一般公共预算财政拨款141.3万元。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rPr>
        <w:t>107.51万元，比上年预算数增加10.55 万元。增加原因是2022年比2021年增加了人员工资津贴补贴，相应增加了人员经费。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社会保障和就业类15.86 </w:t>
      </w:r>
      <w:r>
        <w:rPr>
          <w:rFonts w:hint="eastAsia" w:ascii="仿宋_GB2312" w:eastAsia="仿宋_GB2312"/>
          <w:sz w:val="32"/>
          <w:szCs w:val="32"/>
        </w:rPr>
        <w:t>万元，比上年预算数增加0.1万元。增加原因是2022年比2021年增加了人员工资津贴补贴，相应增加了人员经费。</w:t>
      </w:r>
      <w:r>
        <w:rPr>
          <w:rFonts w:hint="eastAsia" w:eastAsia="仿宋_GB2312"/>
          <w:sz w:val="32"/>
          <w:szCs w:val="32"/>
        </w:rPr>
        <w:t>主要用于</w:t>
      </w:r>
      <w:r>
        <w:rPr>
          <w:rFonts w:hint="eastAsia" w:ascii="仿宋_GB2312" w:eastAsia="仿宋_GB2312"/>
          <w:sz w:val="32"/>
          <w:szCs w:val="32"/>
        </w:rPr>
        <w:t>单位的退休人员退休费发放、养老保险单位部分的缴纳以及职业年金单位部分的虚账做实等方面的支出。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eastAsia="仿宋_GB2312"/>
          <w:b/>
          <w:sz w:val="32"/>
          <w:szCs w:val="32"/>
        </w:rPr>
        <w:t>卫生健康支出类</w:t>
      </w:r>
      <w:r>
        <w:rPr>
          <w:rFonts w:hint="eastAsia" w:eastAsia="仿宋_GB2312"/>
          <w:sz w:val="32"/>
          <w:szCs w:val="32"/>
        </w:rPr>
        <w:t>6.2 万元，</w:t>
      </w:r>
      <w:r>
        <w:rPr>
          <w:rFonts w:hint="eastAsia" w:ascii="仿宋_GB2312" w:eastAsia="仿宋_GB2312"/>
          <w:sz w:val="32"/>
          <w:szCs w:val="32"/>
        </w:rPr>
        <w:t>比上年预算数增加 0.34 万元。增加原因是2022年比2021年增加了人员工资津贴补贴，相应增加了人员经费。</w:t>
      </w:r>
      <w:r>
        <w:rPr>
          <w:rFonts w:hint="eastAsia" w:eastAsia="仿宋_GB2312"/>
          <w:sz w:val="32"/>
          <w:szCs w:val="32"/>
        </w:rPr>
        <w:t>主要用于</w:t>
      </w:r>
      <w:r>
        <w:rPr>
          <w:rFonts w:hint="eastAsia" w:ascii="仿宋_GB2312" w:eastAsia="仿宋_GB2312"/>
          <w:sz w:val="32"/>
          <w:szCs w:val="32"/>
        </w:rPr>
        <w:t>单位的基本医疗保险、长期照护保险单位部分的缴纳、大病医疗保险以及公务员医疗补助等方面的支出。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4、住房保障支出类11.74万元，比上年预算数增加0.05万元。增加原因是2022年比2021年增加了人员工资津贴补贴，相应增加了人员经费。</w:t>
      </w:r>
      <w:r>
        <w:rPr>
          <w:rFonts w:hint="eastAsia" w:eastAsia="仿宋_GB2312"/>
          <w:sz w:val="32"/>
          <w:szCs w:val="32"/>
        </w:rPr>
        <w:t>主要用于</w:t>
      </w:r>
      <w:r>
        <w:rPr>
          <w:rFonts w:hint="eastAsia" w:ascii="仿宋_GB2312" w:eastAsia="仿宋_GB2312"/>
          <w:sz w:val="32"/>
          <w:szCs w:val="32"/>
        </w:rPr>
        <w:t>单位在职人员住房公积金单位部分的缴纳以及新职工住房货币化补助等方面的支出。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我单位无政府性基金财政拨款预算，基金与上年度相比无增减变化。</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财政拨款“三公”经费支出预算0万元，与上年预算相比无增减变化。本年预算比上年执行数增加0 万元，无增减变化。原因是2021年度公务用车运行维护费以及公务接待费用均未安排预算，也没有发生支出。其中：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1、因公出国（境）费用0万元，与上年预算数持平，本年没有列入预算。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2、公务接待费0 万元，与上年预算数持平，本年预算数比上年执行数增加0万元，无增减变化，原因是2021年度公务接待费用没有发生。</w:t>
      </w:r>
    </w:p>
    <w:p>
      <w:pPr>
        <w:adjustRightInd w:val="0"/>
        <w:snapToGrid w:val="0"/>
        <w:spacing w:line="560" w:lineRule="exact"/>
        <w:ind w:left="159" w:leftChars="76" w:firstLine="480" w:firstLineChars="150"/>
        <w:rPr>
          <w:rFonts w:ascii="仿宋_GB2312" w:eastAsia="仿宋_GB2312"/>
          <w:sz w:val="32"/>
          <w:szCs w:val="32"/>
        </w:rPr>
      </w:pPr>
      <w:r>
        <w:rPr>
          <w:rFonts w:hint="eastAsia" w:ascii="仿宋_GB2312" w:eastAsia="仿宋_GB2312"/>
          <w:sz w:val="32"/>
          <w:szCs w:val="32"/>
        </w:rPr>
        <w:t>3、公务用车购置及运行维护费0万元，与上年预算相比无增减变化。本年预算比上年执行数增加0 万元，无增减变化。本年预算与上年执行数持平。其中，公务用车购置0万元，与上年预算持平；公务用车运行维护费0万元，本年预算与上年预算持平，无增减变化。没有公务用车所以没有发生公务用车运行维护费用。</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机关运行经费，是指各部门的公用经费，包括办公费、邮电费、差旅费、会议费、福利费、日常维修费、一般设备购置费、公务用车运行维护费、公务接待费以及其他费用。</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2022年，我单位机关运行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5.99万元，比上年</w:t>
      </w:r>
      <w:r>
        <w:rPr>
          <w:rFonts w:hint="eastAsia" w:ascii="仿宋_GB2312" w:eastAsia="仿宋_GB2312"/>
          <w:sz w:val="32"/>
          <w:szCs w:val="32"/>
        </w:rPr>
        <w:t>减少0.</w:t>
      </w:r>
      <w:r>
        <w:rPr>
          <w:rFonts w:hint="eastAsia" w:ascii="仿宋_GB2312" w:eastAsia="仿宋_GB2312"/>
          <w:color w:val="000000"/>
          <w:sz w:val="32"/>
          <w:szCs w:val="32"/>
        </w:rPr>
        <w:t>28万元，减少4.</w:t>
      </w:r>
      <w:r>
        <w:rPr>
          <w:rFonts w:hint="eastAsia" w:ascii="仿宋_GB2312" w:hAnsi="黑体" w:eastAsia="仿宋_GB2312"/>
          <w:color w:val="000000"/>
          <w:sz w:val="32"/>
          <w:szCs w:val="32"/>
        </w:rPr>
        <w:t>67</w:t>
      </w:r>
      <w:r>
        <w:rPr>
          <w:rFonts w:ascii="仿宋_GB2312" w:hAnsi="黑体" w:eastAsia="仿宋_GB2312"/>
          <w:color w:val="000000"/>
          <w:sz w:val="32"/>
          <w:szCs w:val="32"/>
        </w:rPr>
        <w:t>%。</w:t>
      </w:r>
      <w:r>
        <w:rPr>
          <w:rFonts w:hint="eastAsia" w:ascii="仿宋_GB2312" w:eastAsia="仿宋_GB2312"/>
          <w:sz w:val="32"/>
          <w:szCs w:val="32"/>
        </w:rPr>
        <w:t>减少原因是2022年比2021年预算基数减少，相应减少了运行经费</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政府采购预算总额0万元，其中：政府采购货物预算0万元，政府采购工程预算0万元，政府采购服务预算0万元。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截至2021年末，车辆全部上交，单位价值200万元以上大型设备0台（套）。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2022年度项目支出绩效目标情况说明</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rPr>
          <w:rFonts w:ascii="仿宋_GB2312" w:eastAsia="仿宋_GB2312"/>
          <w:sz w:val="32"/>
          <w:szCs w:val="32"/>
        </w:rPr>
      </w:pPr>
      <w:r>
        <w:rPr>
          <w:rFonts w:hint="eastAsia" w:ascii="仿宋_GB2312" w:eastAsia="仿宋_GB2312"/>
          <w:sz w:val="32"/>
          <w:szCs w:val="32"/>
        </w:rPr>
        <w:t>2021年，填报绩效目标的预算项目2个，</w:t>
      </w:r>
      <w:bookmarkStart w:id="0" w:name="OLE_LINK1"/>
      <w:r>
        <w:rPr>
          <w:rFonts w:hint="eastAsia" w:ascii="仿宋_GB2312" w:eastAsia="仿宋_GB2312"/>
          <w:sz w:val="32"/>
          <w:szCs w:val="32"/>
        </w:rPr>
        <w:t>公开绩效目标2个，公开项目占全部预算项目的100%。</w:t>
      </w:r>
      <w:bookmarkEnd w:id="0"/>
      <w:r>
        <w:rPr>
          <w:rFonts w:hint="eastAsia" w:ascii="仿宋_GB2312" w:eastAsia="仿宋_GB2312"/>
          <w:sz w:val="32"/>
          <w:szCs w:val="32"/>
        </w:rPr>
        <w:t>公开填报绩效目标的项目支出预算2.5万元，占全部项目支出预算的100%。</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是指呼市本级财政当年拨付的资金。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：是指为保障机构正常运转，完成日常工作任务而发生的人员支出和公用支出。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联系人：兰淑根        联系电话：0471-4609172</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详见附表：部门预算公开8张表以总表形式上传，项目支出绩效目标表以总表形式上传。（样式见自治区部门预算公开样式）</w:t>
      </w:r>
    </w:p>
    <w:p/>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III</w:t>
    </w:r>
    <w:r>
      <w:rPr>
        <w:rStyle w:val="6"/>
      </w:rPr>
      <w:fldChar w:fldCharType="end"/>
    </w:r>
  </w:p>
  <w:p>
    <w:pPr>
      <w:pStyle w:val="2"/>
      <w:jc w:val="center"/>
      <w:rPr>
        <w:sz w:val="24"/>
        <w:szCs w:val="24"/>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7A5"/>
    <w:rsid w:val="000565DD"/>
    <w:rsid w:val="000B7270"/>
    <w:rsid w:val="003C6546"/>
    <w:rsid w:val="00530A58"/>
    <w:rsid w:val="005B17A5"/>
    <w:rsid w:val="006A4E38"/>
    <w:rsid w:val="007817C1"/>
    <w:rsid w:val="0084451B"/>
    <w:rsid w:val="0088300F"/>
    <w:rsid w:val="00916D0B"/>
    <w:rsid w:val="00954431"/>
    <w:rsid w:val="00A36693"/>
    <w:rsid w:val="00A51AEB"/>
    <w:rsid w:val="00B04688"/>
    <w:rsid w:val="00B30465"/>
    <w:rsid w:val="00B40180"/>
    <w:rsid w:val="00B70203"/>
    <w:rsid w:val="00BE59D0"/>
    <w:rsid w:val="00C03D3B"/>
    <w:rsid w:val="00CD4EAA"/>
    <w:rsid w:val="BDDFE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546</Words>
  <Characters>3118</Characters>
  <Lines>25</Lines>
  <Paragraphs>7</Paragraphs>
  <TotalTime>33</TotalTime>
  <ScaleCrop>false</ScaleCrop>
  <LinksUpToDate>false</LinksUpToDate>
  <CharactersWithSpaces>3657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2022-03-16T16:04:00Z</dcterms:created>
  <dc:creator>Windows User</dc:creator>
  <cp:lastModifiedBy>casic</cp:lastModifiedBy>
  <dcterms:modified xsi:type="dcterms:W3CDTF">2022-03-23T10:25:07Z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