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4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国家常规统计调查制度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城市基本情况统计报表制度主要内容</w:t>
      </w:r>
    </w:p>
    <w:p>
      <w:pPr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（20</w:t>
      </w:r>
      <w:r>
        <w:rPr>
          <w:rFonts w:hint="eastAsia" w:ascii="楷体_GB2312" w:eastAsia="楷体_GB2312"/>
          <w:sz w:val="32"/>
          <w:lang w:val="en-US" w:eastAsia="zh-CN"/>
        </w:rPr>
        <w:t>22</w:t>
      </w:r>
      <w:r>
        <w:rPr>
          <w:rFonts w:hint="eastAsia" w:ascii="楷体_GB2312" w:eastAsia="楷体_GB2312"/>
          <w:sz w:val="32"/>
        </w:rPr>
        <w:t>年</w:t>
      </w:r>
      <w:r>
        <w:rPr>
          <w:rFonts w:hint="eastAsia" w:ascii="楷体_GB2312" w:eastAsia="楷体_GB2312"/>
          <w:sz w:val="32"/>
          <w:lang w:eastAsia="zh-CN"/>
        </w:rPr>
        <w:t>统计年报</w:t>
      </w:r>
      <w:r>
        <w:rPr>
          <w:rFonts w:hint="eastAsia" w:ascii="楷体_GB2312" w:eastAsia="楷体_GB2312"/>
          <w:sz w:val="32"/>
        </w:rPr>
        <w:t>）</w:t>
      </w:r>
    </w:p>
    <w:p>
      <w:pPr>
        <w:jc w:val="center"/>
        <w:rPr>
          <w:rFonts w:ascii="宋体" w:hAnsi="宋体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/>
        <w:textAlignment w:val="auto"/>
        <w:rPr>
          <w:rFonts w:hint="default" w:ascii="宋体" w:hAnsi="宋体" w:eastAsia="宋体" w:cs="宋体"/>
          <w:spacing w:val="8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pacing w:val="8"/>
          <w:sz w:val="32"/>
          <w:szCs w:val="32"/>
        </w:rPr>
        <w:t>调查目的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宋体" w:hAnsi="宋体" w:eastAsia="宋体" w:cs="宋体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全面了解和反映城市发展状况，提供有关城市发展的基础数据。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二、调查对象和范围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调查对象为地级以上城市。范围包括全国所有地级以上城市。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三、调查内容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包括行政区划、人口规模、资源环境、经济发展、科技创新、人民生活、公共服务和基础设施等方面指标。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四、调查方法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全面统计和抽样调查。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五、调查组织方式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lang w:val="en-US" w:eastAsia="zh-CN" w:bidi="ar-SA"/>
        </w:rPr>
        <w:t>各省、自治区和直辖市统计局组织辖区内地级以上城市统计局填报数据。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rightChars="154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六、统计资料的报送和公布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各地级以上城市统计局采用联网直报方式上报。按年度通过统计年鉴或其他统计资料等形式对公众发布。</w:t>
      </w:r>
    </w:p>
    <w:sectPr>
      <w:footerReference r:id="rId3" w:type="default"/>
      <w:pgSz w:w="11906" w:h="16838"/>
      <w:pgMar w:top="1417" w:right="1247" w:bottom="1247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3CDE5"/>
    <w:rsid w:val="17EB4E81"/>
    <w:rsid w:val="27BD7763"/>
    <w:rsid w:val="2BFD0FB1"/>
    <w:rsid w:val="2F9FD16D"/>
    <w:rsid w:val="3FFFEE3E"/>
    <w:rsid w:val="46771F55"/>
    <w:rsid w:val="5FB9241D"/>
    <w:rsid w:val="6CBFA40E"/>
    <w:rsid w:val="73BDB813"/>
    <w:rsid w:val="775F1FCA"/>
    <w:rsid w:val="79FB48DA"/>
    <w:rsid w:val="7D5F73EF"/>
    <w:rsid w:val="7FFE4335"/>
    <w:rsid w:val="9B2B8D13"/>
    <w:rsid w:val="9FF74B7A"/>
    <w:rsid w:val="D23FC51F"/>
    <w:rsid w:val="D3EFDE6E"/>
    <w:rsid w:val="EE7B7E0C"/>
    <w:rsid w:val="EF6EF074"/>
    <w:rsid w:val="FBEA4063"/>
    <w:rsid w:val="FF77D686"/>
    <w:rsid w:val="FFEDDB9E"/>
    <w:rsid w:val="FFF3C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2022-04-11T18:28:00Z</dcterms:created>
  <dc:creator>kylin</dc:creator>
  <cp:lastModifiedBy>kylin</cp:lastModifiedBy>
  <cp:lastPrinted>2023-05-22T17:01:00Z</cp:lastPrinted>
  <dcterms:modified xsi:type="dcterms:W3CDTF">2023-05-22T09:19:04Z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