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宋体" w:hAnsi="宋体"/>
          <w:b/>
          <w:sz w:val="44"/>
          <w:szCs w:val="44"/>
        </w:rPr>
      </w:pPr>
    </w:p>
    <w:p>
      <w:pPr>
        <w:spacing w:line="336" w:lineRule="auto"/>
        <w:jc w:val="center"/>
        <w:rPr>
          <w:rFonts w:ascii="仿宋_GB2312" w:eastAsia="仿宋_GB2312"/>
          <w:sz w:val="32"/>
          <w:szCs w:val="32"/>
        </w:rPr>
      </w:pPr>
    </w:p>
    <w:p>
      <w:pPr>
        <w:spacing w:line="336" w:lineRule="auto"/>
        <w:jc w:val="center"/>
        <w:rPr>
          <w:rFonts w:ascii="仿宋_GB2312" w:hAnsi="宋体" w:eastAsia="仿宋_GB2312"/>
          <w:sz w:val="32"/>
          <w:szCs w:val="32"/>
        </w:rPr>
      </w:pPr>
    </w:p>
    <w:p>
      <w:pPr>
        <w:spacing w:line="336" w:lineRule="auto"/>
        <w:jc w:val="center"/>
        <w:rPr>
          <w:rFonts w:ascii="仿宋_GB2312" w:eastAsia="仿宋_GB2312"/>
          <w:sz w:val="32"/>
          <w:szCs w:val="32"/>
        </w:rPr>
      </w:pPr>
    </w:p>
    <w:p>
      <w:pPr>
        <w:spacing w:line="1200" w:lineRule="exact"/>
        <w:jc w:val="center"/>
        <w:rPr>
          <w:rFonts w:ascii="宋体" w:hAnsi="宋体"/>
          <w:b/>
          <w:sz w:val="44"/>
          <w:szCs w:val="44"/>
        </w:rPr>
      </w:pPr>
    </w:p>
    <w:p>
      <w:pPr>
        <w:spacing w:line="560" w:lineRule="exact"/>
        <w:jc w:val="center"/>
        <w:rPr>
          <w:rFonts w:ascii="宋体" w:hAnsi="宋体"/>
          <w:b/>
          <w:sz w:val="44"/>
          <w:szCs w:val="44"/>
        </w:rPr>
      </w:pPr>
      <w:r>
        <w:rPr>
          <w:rFonts w:hint="eastAsia" w:ascii="宋体" w:hAnsi="宋体"/>
          <w:b/>
          <w:sz w:val="44"/>
          <w:szCs w:val="44"/>
        </w:rPr>
        <w:t>内蒙古自治区呼和浩特市统计普查中心</w:t>
      </w:r>
    </w:p>
    <w:p>
      <w:pPr>
        <w:spacing w:line="560" w:lineRule="exact"/>
        <w:jc w:val="center"/>
        <w:rPr>
          <w:rFonts w:ascii="宋体" w:hAnsi="宋体"/>
          <w:b/>
          <w:sz w:val="44"/>
          <w:szCs w:val="44"/>
        </w:rPr>
      </w:pPr>
      <w:r>
        <w:rPr>
          <w:rFonts w:ascii="宋体" w:hAnsi="宋体"/>
          <w:b/>
          <w:sz w:val="44"/>
          <w:szCs w:val="44"/>
        </w:rPr>
        <w:t>20</w:t>
      </w:r>
      <w:r>
        <w:rPr>
          <w:rFonts w:hint="eastAsia" w:ascii="宋体" w:hAnsi="宋体"/>
          <w:b/>
          <w:sz w:val="44"/>
          <w:szCs w:val="44"/>
        </w:rPr>
        <w:t>22年部门预算公开报告</w:t>
      </w: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ind w:firstLine="3040" w:firstLineChars="950"/>
        <w:rPr>
          <w:rFonts w:ascii="楷体_GB2312" w:eastAsia="楷体_GB2312"/>
          <w:sz w:val="32"/>
          <w:szCs w:val="32"/>
        </w:rPr>
      </w:pPr>
      <w:r>
        <w:rPr>
          <w:rFonts w:hint="eastAsia" w:ascii="楷体_GB2312" w:eastAsia="楷体_GB2312"/>
          <w:sz w:val="32"/>
          <w:szCs w:val="32"/>
        </w:rPr>
        <w:t>202</w:t>
      </w:r>
      <w:r>
        <w:rPr>
          <w:rFonts w:hint="default" w:ascii="楷体_GB2312" w:eastAsia="楷体_GB2312"/>
          <w:sz w:val="32"/>
          <w:szCs w:val="32"/>
        </w:rPr>
        <w:t>2</w:t>
      </w:r>
      <w:r>
        <w:rPr>
          <w:rFonts w:hint="eastAsia" w:ascii="楷体_GB2312" w:eastAsia="楷体_GB2312"/>
          <w:sz w:val="32"/>
          <w:szCs w:val="32"/>
        </w:rPr>
        <w:t>年3  月18  日</w:t>
      </w: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adjustRightInd w:val="0"/>
        <w:snapToGrid w:val="0"/>
        <w:spacing w:line="560" w:lineRule="exact"/>
        <w:jc w:val="center"/>
        <w:rPr>
          <w:rFonts w:ascii="楷体_GB2312" w:hAnsi="宋体" w:eastAsia="楷体_GB2312"/>
          <w:b/>
          <w:color w:val="000000"/>
          <w:sz w:val="36"/>
          <w:szCs w:val="36"/>
        </w:rPr>
      </w:pPr>
      <w:r>
        <w:rPr>
          <w:rFonts w:hint="eastAsia" w:ascii="楷体_GB2312" w:hAnsi="宋体" w:eastAsia="楷体_GB2312"/>
          <w:b/>
          <w:color w:val="000000"/>
          <w:sz w:val="36"/>
          <w:szCs w:val="36"/>
        </w:rPr>
        <w:t>目  录</w:t>
      </w:r>
    </w:p>
    <w:p>
      <w:pPr>
        <w:adjustRightInd w:val="0"/>
        <w:snapToGrid w:val="0"/>
        <w:spacing w:line="560" w:lineRule="exact"/>
        <w:jc w:val="center"/>
        <w:rPr>
          <w:rFonts w:ascii="楷体_GB2312" w:hAnsi="宋体" w:eastAsia="楷体_GB2312"/>
          <w:b/>
          <w:color w:val="000000"/>
          <w:sz w:val="36"/>
          <w:szCs w:val="36"/>
        </w:rPr>
      </w:pPr>
    </w:p>
    <w:p>
      <w:pPr>
        <w:adjustRightInd w:val="0"/>
        <w:snapToGrid w:val="0"/>
        <w:spacing w:line="560" w:lineRule="exact"/>
        <w:jc w:val="left"/>
        <w:rPr>
          <w:rFonts w:ascii="楷体_GB2312" w:hAnsi="宋体" w:eastAsia="楷体_GB2312"/>
          <w:b/>
          <w:color w:val="000000"/>
          <w:sz w:val="32"/>
          <w:szCs w:val="32"/>
        </w:rPr>
      </w:pPr>
      <w:r>
        <w:rPr>
          <w:rFonts w:hint="eastAsia" w:ascii="楷体_GB2312" w:hAnsi="宋体" w:eastAsia="楷体_GB2312"/>
          <w:b/>
          <w:color w:val="000000"/>
          <w:sz w:val="32"/>
          <w:szCs w:val="32"/>
        </w:rPr>
        <w:t>第一部分  部门概况</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一、部门主要职能、职责</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二、机构设置及预算单位构成情况</w:t>
      </w:r>
    </w:p>
    <w:p>
      <w:pPr>
        <w:adjustRightInd w:val="0"/>
        <w:snapToGrid w:val="0"/>
        <w:spacing w:line="560" w:lineRule="exact"/>
        <w:jc w:val="left"/>
        <w:rPr>
          <w:rFonts w:ascii="楷体_GB2312" w:hAnsi="黑体" w:eastAsia="楷体_GB2312"/>
          <w:b/>
          <w:color w:val="000000"/>
          <w:sz w:val="32"/>
          <w:szCs w:val="32"/>
        </w:rPr>
      </w:pPr>
      <w:r>
        <w:rPr>
          <w:rFonts w:hint="eastAsia" w:ascii="楷体_GB2312" w:hAnsi="黑体" w:eastAsia="楷体_GB2312"/>
          <w:b/>
          <w:color w:val="000000"/>
          <w:sz w:val="32"/>
          <w:szCs w:val="32"/>
        </w:rPr>
        <w:t>第二部分  2022年部门预算安排情况说明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一、部门预算收支总体情况说明</w:t>
      </w:r>
    </w:p>
    <w:p>
      <w:pPr>
        <w:adjustRightInd w:val="0"/>
        <w:snapToGrid w:val="0"/>
        <w:spacing w:line="560" w:lineRule="exact"/>
        <w:ind w:firstLine="640" w:firstLineChars="200"/>
        <w:rPr>
          <w:rFonts w:ascii="楷体_GB2312" w:hAnsi="黑体" w:eastAsia="楷体_GB2312"/>
          <w:color w:val="000000"/>
          <w:sz w:val="32"/>
          <w:szCs w:val="32"/>
          <w:highlight w:val="yellow"/>
        </w:rPr>
      </w:pPr>
      <w:r>
        <w:rPr>
          <w:rFonts w:hint="eastAsia" w:ascii="楷体_GB2312" w:hAnsi="黑体" w:eastAsia="楷体_GB2312"/>
          <w:color w:val="000000"/>
          <w:sz w:val="32"/>
          <w:szCs w:val="32"/>
        </w:rPr>
        <w:t>二、一般公共预算财政拨款收支情况说明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三、政府性基金预算财政拨款支出情况说明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四、财政拨款“三公”经费预算情况说明</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第三部分  其他公开事项说明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一、机关运行经费安排情况说明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二、政府采购预算情况说明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三、国有资产占有使用情况说明</w:t>
      </w:r>
    </w:p>
    <w:p>
      <w:pPr>
        <w:ind w:firstLine="640" w:firstLineChars="200"/>
        <w:rPr>
          <w:rFonts w:ascii="楷体_GB2312" w:hAnsi="黑体" w:eastAsia="楷体_GB2312"/>
          <w:sz w:val="32"/>
          <w:szCs w:val="32"/>
        </w:rPr>
      </w:pPr>
      <w:r>
        <w:rPr>
          <w:rFonts w:hint="eastAsia" w:ascii="楷体_GB2312" w:hAnsi="黑体" w:eastAsia="楷体_GB2312"/>
          <w:color w:val="000000"/>
          <w:sz w:val="32"/>
          <w:szCs w:val="32"/>
        </w:rPr>
        <w:t>四、</w:t>
      </w:r>
      <w:r>
        <w:rPr>
          <w:rFonts w:hint="eastAsia" w:ascii="楷体_GB2312" w:hAnsi="黑体" w:eastAsia="楷体_GB2312"/>
          <w:sz w:val="32"/>
          <w:szCs w:val="32"/>
        </w:rPr>
        <w:t>项目支出绩效目标情况说明</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第四部分  名词解释</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第五部分  预算公开联系方式及信息反馈渠道</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第六部分  2022年部门预算公开表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一、部门收支预算总表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二、部门收入预算总表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三、部门支出预算总表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四、财政拨款收支预算总表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五、一般公共预算财政拨款支出预算表</w:t>
      </w:r>
    </w:p>
    <w:p>
      <w:pPr>
        <w:spacing w:line="336" w:lineRule="auto"/>
        <w:rPr>
          <w:rFonts w:ascii="楷体_GB2312" w:eastAsia="楷体_GB2312"/>
          <w:sz w:val="32"/>
          <w:szCs w:val="32"/>
        </w:rPr>
      </w:pPr>
      <w:r>
        <w:rPr>
          <w:rFonts w:hint="eastAsia" w:ascii="楷体_GB2312" w:hAnsi="黑体" w:eastAsia="楷体_GB2312"/>
          <w:color w:val="000000"/>
          <w:sz w:val="32"/>
          <w:szCs w:val="32"/>
        </w:rPr>
        <w:t xml:space="preserve">    六、一般公共预算财政拨款基本支出预算表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七、财政拨款“三公”经费支出预算表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八、政府性基金预算财政拨款支出预算表</w:t>
      </w:r>
    </w:p>
    <w:p>
      <w:pPr>
        <w:ind w:firstLine="640" w:firstLineChars="200"/>
        <w:rPr>
          <w:rFonts w:hint="eastAsia" w:ascii="楷体_GB2312" w:eastAsia="楷体_GB2312"/>
          <w:sz w:val="32"/>
          <w:szCs w:val="32"/>
        </w:rPr>
      </w:pPr>
      <w:r>
        <w:rPr>
          <w:rFonts w:hint="eastAsia" w:ascii="楷体_GB2312" w:eastAsia="楷体_GB2312"/>
          <w:sz w:val="32"/>
          <w:szCs w:val="32"/>
        </w:rPr>
        <w:t>九、国有资本经营预算表</w:t>
      </w:r>
    </w:p>
    <w:p>
      <w:pPr>
        <w:ind w:firstLine="640" w:firstLineChars="200"/>
        <w:rPr>
          <w:rFonts w:hint="eastAsia" w:ascii="楷体_GB2312" w:eastAsia="楷体_GB2312"/>
          <w:sz w:val="32"/>
          <w:szCs w:val="32"/>
        </w:rPr>
      </w:pPr>
      <w:r>
        <w:rPr>
          <w:rFonts w:hint="eastAsia" w:ascii="楷体_GB2312" w:eastAsia="楷体_GB2312"/>
          <w:sz w:val="32"/>
          <w:szCs w:val="32"/>
        </w:rPr>
        <w:t>十、部门项目支出表</w:t>
      </w:r>
    </w:p>
    <w:p>
      <w:pPr>
        <w:ind w:firstLine="640" w:firstLineChars="200"/>
        <w:rPr>
          <w:rFonts w:hint="eastAsia" w:ascii="楷体_GB2312" w:hAnsi="黑体" w:eastAsia="楷体_GB2312"/>
          <w:sz w:val="32"/>
          <w:szCs w:val="32"/>
        </w:rPr>
      </w:pPr>
      <w:r>
        <w:rPr>
          <w:rFonts w:hint="eastAsia" w:ascii="楷体_GB2312" w:hAnsi="黑体" w:eastAsia="楷体_GB2312"/>
          <w:sz w:val="32"/>
          <w:szCs w:val="32"/>
        </w:rPr>
        <w:t>十一、项目支出绩效目标申报表</w:t>
      </w:r>
    </w:p>
    <w:p>
      <w:pPr>
        <w:ind w:firstLine="640" w:firstLineChars="200"/>
        <w:rPr>
          <w:rFonts w:ascii="楷体_GB2312" w:eastAsia="楷体_GB2312"/>
          <w:sz w:val="32"/>
          <w:szCs w:val="32"/>
        </w:rPr>
      </w:pPr>
      <w:r>
        <w:rPr>
          <w:rFonts w:hint="eastAsia" w:ascii="楷体_GB2312" w:hAnsi="黑体" w:eastAsia="楷体_GB2312"/>
          <w:sz w:val="32"/>
          <w:szCs w:val="32"/>
        </w:rPr>
        <w:t>十二、政府采购预算表</w:t>
      </w:r>
    </w:p>
    <w:p>
      <w:pPr>
        <w:spacing w:line="560" w:lineRule="exact"/>
        <w:ind w:firstLine="640" w:firstLineChars="200"/>
        <w:rPr>
          <w:rFonts w:ascii="楷体_GB2312" w:eastAsia="楷体_GB2312"/>
          <w:sz w:val="32"/>
          <w:szCs w:val="32"/>
        </w:rPr>
        <w:sectPr>
          <w:footerReference r:id="rId3" w:type="default"/>
          <w:footerReference r:id="rId4" w:type="even"/>
          <w:pgSz w:w="11906" w:h="16838"/>
          <w:pgMar w:top="1588" w:right="1531" w:bottom="1588" w:left="1531" w:header="851" w:footer="850" w:gutter="0"/>
          <w:pgNumType w:fmt="upperRoman" w:start="1" w:chapStyle="1"/>
          <w:cols w:space="425" w:num="1"/>
          <w:docGrid w:type="lines" w:linePitch="312" w:charSpace="0"/>
        </w:sectPr>
      </w:pPr>
    </w:p>
    <w:p>
      <w:pPr>
        <w:spacing w:beforeLines="50" w:afterLines="50" w:line="560" w:lineRule="exact"/>
        <w:jc w:val="center"/>
        <w:rPr>
          <w:rFonts w:ascii="楷体_GB2312" w:eastAsia="楷体_GB2312"/>
          <w:b/>
          <w:sz w:val="36"/>
          <w:szCs w:val="36"/>
        </w:rPr>
      </w:pPr>
      <w:r>
        <w:rPr>
          <w:rFonts w:hint="eastAsia" w:ascii="楷体_GB2312" w:eastAsia="楷体_GB2312"/>
          <w:b/>
          <w:sz w:val="36"/>
          <w:szCs w:val="36"/>
        </w:rPr>
        <w:t>第一部分  部门概况</w:t>
      </w:r>
    </w:p>
    <w:p>
      <w:pPr>
        <w:snapToGrid w:val="0"/>
        <w:ind w:firstLine="640"/>
        <w:jc w:val="left"/>
        <w:rPr>
          <w:rFonts w:ascii="黑体" w:hAnsi="黑体" w:eastAsia="黑体"/>
          <w:sz w:val="32"/>
          <w:szCs w:val="32"/>
        </w:rPr>
      </w:pPr>
      <w:r>
        <w:rPr>
          <w:rFonts w:hint="eastAsia" w:ascii="黑体" w:hAnsi="黑体" w:eastAsia="黑体"/>
          <w:sz w:val="32"/>
          <w:szCs w:val="32"/>
        </w:rPr>
        <w:t>一、主要职能</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主要职责任务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1.承担全国人口普查、农业普查、经济普查等大型普查实施工作；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2.承担全市基本单位名录库动态维护工作；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3.承担全市“四上”单位入退库辅助性工作；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4.为研究制定人口、农业、经济各项政策及经济社会发展提供技术支撑，为社会公众提供相关统计信息服务；</w:t>
      </w:r>
    </w:p>
    <w:p>
      <w:pPr>
        <w:spacing w:line="580" w:lineRule="exact"/>
        <w:ind w:firstLine="600"/>
        <w:rPr>
          <w:rFonts w:ascii="宋体" w:hAnsi="宋体"/>
          <w:sz w:val="36"/>
          <w:szCs w:val="36"/>
        </w:rPr>
      </w:pPr>
      <w:r>
        <w:rPr>
          <w:rFonts w:hint="eastAsia" w:ascii="仿宋_GB2312" w:eastAsia="仿宋_GB2312"/>
          <w:sz w:val="32"/>
          <w:szCs w:val="32"/>
        </w:rPr>
        <w:t>5.承担市统计局交办的其他相关工作。</w:t>
      </w:r>
    </w:p>
    <w:p>
      <w:pPr>
        <w:widowControl/>
        <w:ind w:firstLine="48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hint="eastAsia" w:ascii="黑体" w:hAnsi="黑体" w:eastAsia="黑体"/>
          <w:sz w:val="32"/>
          <w:szCs w:val="32"/>
        </w:rPr>
        <w:t>机构设置及预算单位构成情况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呼和浩特市统计普查中心，为市统计局所属正科级公益一类事业单位。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核定事业编制12名。核定单位科级职数2名（1正1副）。</w:t>
      </w:r>
    </w:p>
    <w:p>
      <w:pPr>
        <w:widowControl/>
        <w:ind w:firstLine="480"/>
        <w:jc w:val="left"/>
        <w:rPr>
          <w:rFonts w:ascii="仿宋" w:hAnsi="仿宋" w:eastAsia="仿宋" w:cs="宋体"/>
          <w:color w:val="000000"/>
          <w:kern w:val="0"/>
          <w:sz w:val="24"/>
        </w:rPr>
      </w:pPr>
    </w:p>
    <w:p>
      <w:pPr>
        <w:widowControl/>
        <w:shd w:val="clear" w:color="auto" w:fill="FFFFFF"/>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32"/>
          <w:szCs w:val="32"/>
        </w:rPr>
        <w:t xml:space="preserve">                  </w:t>
      </w:r>
    </w:p>
    <w:p>
      <w:pPr>
        <w:spacing w:beforeLines="50" w:afterLines="50" w:line="560" w:lineRule="exact"/>
        <w:jc w:val="center"/>
        <w:rPr>
          <w:rFonts w:ascii="楷体_GB2312" w:eastAsia="楷体_GB2312"/>
          <w:b/>
          <w:sz w:val="36"/>
          <w:szCs w:val="36"/>
        </w:rPr>
      </w:pPr>
      <w:r>
        <w:rPr>
          <w:rFonts w:hint="eastAsia" w:ascii="楷体_GB2312" w:eastAsia="楷体_GB2312"/>
          <w:b/>
          <w:sz w:val="36"/>
          <w:szCs w:val="36"/>
        </w:rPr>
        <w:t>第二部分   2022年部门预算安排情况说明</w:t>
      </w:r>
    </w:p>
    <w:p>
      <w:pPr>
        <w:spacing w:line="560" w:lineRule="exact"/>
        <w:ind w:firstLine="640" w:firstLineChars="200"/>
        <w:rPr>
          <w:rFonts w:ascii="黑体" w:eastAsia="黑体"/>
          <w:sz w:val="36"/>
          <w:szCs w:val="36"/>
        </w:rPr>
      </w:pPr>
      <w:r>
        <w:rPr>
          <w:rFonts w:hint="eastAsia" w:ascii="黑体" w:hAnsi="黑体" w:eastAsia="黑体"/>
          <w:color w:val="000000"/>
          <w:sz w:val="32"/>
          <w:szCs w:val="32"/>
        </w:rPr>
        <w:t>一、部门预算收支总体情况说明</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收入预算171.19万元，比2021年预算增加12.77万元，增加8.06%，增加原因是2022年比2021年增加了人员工资津补贴经费。</w:t>
      </w:r>
    </w:p>
    <w:p>
      <w:pPr>
        <w:adjustRightInd w:val="0"/>
        <w:snapToGrid w:val="0"/>
        <w:spacing w:line="560" w:lineRule="exact"/>
        <w:ind w:firstLine="640"/>
        <w:rPr>
          <w:rFonts w:ascii="仿宋_GB2312" w:eastAsia="仿宋_GB2312"/>
          <w:sz w:val="32"/>
          <w:szCs w:val="32"/>
        </w:rPr>
      </w:pP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支出预算171.19万元，比2021年预算增加12.77万元，增加原因是2022年比2021年增加了人员工资津补贴经费。</w:t>
      </w:r>
    </w:p>
    <w:p>
      <w:pPr>
        <w:adjustRightInd w:val="0"/>
        <w:snapToGrid w:val="0"/>
        <w:spacing w:line="560" w:lineRule="exact"/>
        <w:ind w:firstLine="640"/>
        <w:rPr>
          <w:rFonts w:ascii="黑体" w:hAnsi="黑体" w:eastAsia="黑体"/>
          <w:color w:val="000000"/>
          <w:sz w:val="32"/>
          <w:szCs w:val="32"/>
        </w:rPr>
      </w:pPr>
      <w:r>
        <w:rPr>
          <w:rFonts w:hint="eastAsia" w:ascii="楷体_GB2312" w:hAnsi="黑体" w:eastAsia="楷体_GB2312"/>
          <w:sz w:val="32"/>
          <w:szCs w:val="32"/>
        </w:rPr>
        <w:t>（一）部门预算收入情况说明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部门预算收入171.19万元，其中：一般公共预算拨款收入171.19万元，占比100 %。</w:t>
      </w:r>
    </w:p>
    <w:p>
      <w:pPr>
        <w:adjustRightInd w:val="0"/>
        <w:snapToGrid w:val="0"/>
        <w:spacing w:line="560" w:lineRule="exact"/>
        <w:ind w:firstLine="640" w:firstLineChars="200"/>
        <w:rPr>
          <w:rFonts w:ascii="黑体" w:hAnsi="黑体" w:eastAsia="黑体"/>
          <w:color w:val="000000"/>
          <w:sz w:val="32"/>
          <w:szCs w:val="32"/>
        </w:rPr>
      </w:pPr>
      <w:r>
        <w:rPr>
          <w:rFonts w:hint="eastAsia" w:ascii="楷体_GB2312" w:hAnsi="黑体" w:eastAsia="楷体_GB2312"/>
          <w:sz w:val="32"/>
          <w:szCs w:val="32"/>
        </w:rPr>
        <w:t>（二）部门预算支出情况说明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部门预算支出171.19万元，其中：基本支出168.19万元，占比98.24 %；项目支出3万元，占比1.76%。</w:t>
      </w:r>
    </w:p>
    <w:p>
      <w:pPr>
        <w:adjustRightInd w:val="0"/>
        <w:snapToGrid w:val="0"/>
        <w:spacing w:line="560" w:lineRule="exact"/>
        <w:ind w:firstLine="640"/>
        <w:rPr>
          <w:rFonts w:ascii="仿宋_GB2312" w:hAnsi="黑体" w:eastAsia="仿宋_GB2312"/>
          <w:color w:val="000000"/>
          <w:sz w:val="32"/>
          <w:szCs w:val="32"/>
        </w:rPr>
      </w:pPr>
      <w:r>
        <w:rPr>
          <w:rFonts w:hint="eastAsia" w:ascii="仿宋_GB2312" w:eastAsia="仿宋_GB2312"/>
          <w:sz w:val="32"/>
          <w:szCs w:val="32"/>
        </w:rPr>
        <w:t>主要用于本单位的机构运转、社会保障等方面支出。</w:t>
      </w:r>
    </w:p>
    <w:p>
      <w:pPr>
        <w:spacing w:line="560" w:lineRule="exact"/>
        <w:ind w:firstLine="640" w:firstLineChars="200"/>
        <w:rPr>
          <w:rFonts w:ascii="方正小标宋简体" w:eastAsia="方正小标宋简体"/>
          <w:sz w:val="36"/>
          <w:szCs w:val="36"/>
        </w:rPr>
      </w:pPr>
      <w:r>
        <w:rPr>
          <w:rFonts w:hint="eastAsia" w:ascii="黑体" w:hAnsi="黑体" w:eastAsia="黑体"/>
          <w:color w:val="000000"/>
          <w:sz w:val="32"/>
          <w:szCs w:val="32"/>
        </w:rPr>
        <w:t>二、一般公共预算财政拨款收支情况说明</w:t>
      </w:r>
    </w:p>
    <w:p>
      <w:pPr>
        <w:spacing w:line="560" w:lineRule="exact"/>
        <w:ind w:firstLine="640" w:firstLineChars="200"/>
        <w:rPr>
          <w:rFonts w:ascii="楷体_GB2312" w:eastAsia="楷体_GB2312"/>
          <w:sz w:val="36"/>
          <w:szCs w:val="36"/>
        </w:rPr>
      </w:pPr>
      <w:r>
        <w:rPr>
          <w:rFonts w:hint="eastAsia" w:ascii="楷体_GB2312" w:eastAsia="楷体_GB2312"/>
          <w:sz w:val="32"/>
          <w:szCs w:val="32"/>
        </w:rPr>
        <w:t>（一）财政拨款规模情况</w:t>
      </w:r>
    </w:p>
    <w:p>
      <w:pPr>
        <w:spacing w:line="560" w:lineRule="exact"/>
        <w:ind w:firstLine="640" w:firstLineChars="200"/>
        <w:rPr>
          <w:rFonts w:ascii="仿宋_GB2312" w:eastAsia="仿宋_GB2312"/>
          <w:b/>
          <w:sz w:val="36"/>
          <w:szCs w:val="36"/>
        </w:rPr>
      </w:pPr>
      <w:r>
        <w:rPr>
          <w:rFonts w:hint="eastAsia" w:ascii="仿宋_GB2312" w:eastAsia="仿宋_GB2312"/>
          <w:sz w:val="32"/>
          <w:szCs w:val="32"/>
        </w:rPr>
        <w:t>财政拨款收支预算171.19万元，包括：一般公共预算财政拨款171.19万元，。</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一般公共</w:t>
      </w:r>
      <w:r>
        <w:rPr>
          <w:rFonts w:hint="eastAsia" w:ascii="楷体_GB2312" w:eastAsia="楷体_GB2312"/>
          <w:sz w:val="32"/>
          <w:szCs w:val="32"/>
        </w:rPr>
        <w:t>预算财政拨款具体使用安排情况</w:t>
      </w:r>
    </w:p>
    <w:p>
      <w:pPr>
        <w:adjustRightInd w:val="0"/>
        <w:snapToGrid w:val="0"/>
        <w:spacing w:line="560" w:lineRule="exact"/>
        <w:ind w:firstLine="640"/>
        <w:rPr>
          <w:rFonts w:ascii="仿宋_GB2312" w:eastAsia="仿宋_GB2312"/>
          <w:sz w:val="32"/>
          <w:szCs w:val="32"/>
        </w:rPr>
      </w:pPr>
      <w:r>
        <w:rPr>
          <w:rFonts w:hint="eastAsia" w:ascii="仿宋_GB2312" w:eastAsia="仿宋_GB2312"/>
          <w:b/>
          <w:sz w:val="32"/>
          <w:szCs w:val="32"/>
        </w:rPr>
        <w:t>1.一般公共服务类</w:t>
      </w:r>
      <w:r>
        <w:rPr>
          <w:rFonts w:hint="eastAsia" w:ascii="仿宋_GB2312" w:eastAsia="仿宋_GB2312"/>
          <w:sz w:val="32"/>
          <w:szCs w:val="32"/>
        </w:rPr>
        <w:t>131.04万元，比上年预算数增加11.76 万元。增加原因是2022年比2021年增加了人员工资津补贴经费。</w:t>
      </w:r>
      <w:r>
        <w:rPr>
          <w:rFonts w:hint="eastAsia" w:eastAsia="仿宋_GB2312"/>
          <w:sz w:val="32"/>
          <w:szCs w:val="32"/>
        </w:rPr>
        <w:t>主要用于本</w:t>
      </w:r>
      <w:r>
        <w:rPr>
          <w:rFonts w:hint="eastAsia" w:ascii="仿宋_GB2312" w:eastAsia="仿宋_GB2312"/>
          <w:sz w:val="32"/>
          <w:szCs w:val="32"/>
        </w:rPr>
        <w:t>单位的人员工资、津补贴、社会保障缴费、人员体检和机构运转等方面支出。</w:t>
      </w:r>
      <w:bookmarkStart w:id="1" w:name="_GoBack"/>
      <w:bookmarkEnd w:id="1"/>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 xml:space="preserve">社会保障和就业类21.21 </w:t>
      </w:r>
      <w:r>
        <w:rPr>
          <w:rFonts w:hint="eastAsia" w:ascii="仿宋_GB2312" w:eastAsia="仿宋_GB2312"/>
          <w:sz w:val="32"/>
          <w:szCs w:val="32"/>
        </w:rPr>
        <w:t>万元，比上年预算数增加0.93万元。增加原因是2022年比2021年增加了社会保障缴费工资基数，相应增加了人员经费。</w:t>
      </w:r>
      <w:r>
        <w:rPr>
          <w:rFonts w:hint="eastAsia" w:eastAsia="仿宋_GB2312"/>
          <w:sz w:val="32"/>
          <w:szCs w:val="32"/>
        </w:rPr>
        <w:t>主要用于</w:t>
      </w:r>
      <w:r>
        <w:rPr>
          <w:rFonts w:hint="eastAsia" w:ascii="仿宋_GB2312" w:eastAsia="仿宋_GB2312"/>
          <w:sz w:val="32"/>
          <w:szCs w:val="32"/>
        </w:rPr>
        <w:t>单位的退休人员退休费发放、养老保险单位部分的缴纳以及职业年金单位部分的虚账做实等方面的支出。</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3、</w:t>
      </w:r>
      <w:r>
        <w:rPr>
          <w:rFonts w:hint="eastAsia" w:ascii="仿宋_GB2312" w:eastAsia="仿宋_GB2312"/>
          <w:b/>
          <w:sz w:val="32"/>
          <w:szCs w:val="32"/>
        </w:rPr>
        <w:t>卫生健康支出类</w:t>
      </w:r>
      <w:r>
        <w:rPr>
          <w:rFonts w:hint="eastAsia" w:eastAsia="仿宋_GB2312"/>
          <w:sz w:val="32"/>
          <w:szCs w:val="32"/>
        </w:rPr>
        <w:t>7.48 万元，</w:t>
      </w:r>
      <w:r>
        <w:rPr>
          <w:rFonts w:hint="eastAsia" w:ascii="仿宋_GB2312" w:eastAsia="仿宋_GB2312"/>
          <w:sz w:val="32"/>
          <w:szCs w:val="32"/>
        </w:rPr>
        <w:t>比上年预算数增加 0.02万元。增加原因是2022年比2021年增加了社会保障缴费工资基数，相应增加了人员经费。</w:t>
      </w:r>
      <w:r>
        <w:rPr>
          <w:rFonts w:hint="eastAsia" w:eastAsia="仿宋_GB2312"/>
          <w:sz w:val="32"/>
          <w:szCs w:val="32"/>
        </w:rPr>
        <w:t>主要用于</w:t>
      </w:r>
      <w:r>
        <w:rPr>
          <w:rFonts w:hint="eastAsia" w:ascii="仿宋_GB2312" w:eastAsia="仿宋_GB2312"/>
          <w:sz w:val="32"/>
          <w:szCs w:val="32"/>
        </w:rPr>
        <w:t>单位的基本医疗保险单位部分的缴纳、大病保险以及公务员医疗补助等方面的支出。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4、住房保障支出类11.46万元，比上年预算数减少0.06 万元。增加原因是2022年比2021年增加了社会保障缴费工资基数，相应增加了人员经费。</w:t>
      </w:r>
      <w:r>
        <w:rPr>
          <w:rFonts w:hint="eastAsia" w:eastAsia="仿宋_GB2312"/>
          <w:sz w:val="32"/>
          <w:szCs w:val="32"/>
        </w:rPr>
        <w:t>主要用于</w:t>
      </w:r>
      <w:r>
        <w:rPr>
          <w:rFonts w:hint="eastAsia" w:ascii="仿宋_GB2312" w:eastAsia="仿宋_GB2312"/>
          <w:sz w:val="32"/>
          <w:szCs w:val="32"/>
        </w:rPr>
        <w:t>单位在职人员住房公积金单位部分的缴纳以及新职工住房货币化补助等方面的支出。</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三、政府性基金预算财政拨款支出情况说明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我单位无政府性基金财政拨款预算，基金与上年度相比无增减变化。</w:t>
      </w:r>
    </w:p>
    <w:p>
      <w:pPr>
        <w:adjustRightInd w:val="0"/>
        <w:snapToGrid w:val="0"/>
        <w:spacing w:line="560" w:lineRule="exact"/>
        <w:ind w:firstLine="640" w:firstLineChars="200"/>
        <w:rPr>
          <w:rFonts w:eastAsia="仿宋_GB2312"/>
          <w:sz w:val="32"/>
          <w:szCs w:val="32"/>
        </w:rPr>
      </w:pPr>
      <w:r>
        <w:rPr>
          <w:rFonts w:hint="eastAsia" w:ascii="黑体" w:hAnsi="黑体" w:eastAsia="黑体"/>
          <w:color w:val="000000"/>
          <w:sz w:val="32"/>
          <w:szCs w:val="32"/>
        </w:rPr>
        <w:t>四、财政拨款“三公”经费预算情况说明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财政拨款“三公”经费支出预算0万元，与上年预算相比无增减变化。本年预算比上年执行数增加0 万元，无增减变化。原因是2022、2021年度公务用车运行维护费以及公务接待费用均未安排预算，也没有发生支出。其中：</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1、因公出国（境）费用0万元，与上年预算数持平，本年没有列入预算。</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2、公务接待费0 万元，与上年预算数持平，本年预算数比上年执行数增加0万元，无增减变化，原因是2022、2021年度公务接待费用没有发生。</w:t>
      </w:r>
    </w:p>
    <w:p>
      <w:pPr>
        <w:adjustRightInd w:val="0"/>
        <w:snapToGrid w:val="0"/>
        <w:spacing w:line="560" w:lineRule="exact"/>
        <w:ind w:left="159" w:leftChars="76" w:firstLine="480" w:firstLineChars="150"/>
        <w:rPr>
          <w:rFonts w:ascii="仿宋_GB2312" w:eastAsia="仿宋_GB2312"/>
          <w:sz w:val="32"/>
          <w:szCs w:val="32"/>
        </w:rPr>
      </w:pPr>
      <w:r>
        <w:rPr>
          <w:rFonts w:hint="eastAsia" w:ascii="仿宋_GB2312" w:eastAsia="仿宋_GB2312"/>
          <w:sz w:val="32"/>
          <w:szCs w:val="32"/>
        </w:rPr>
        <w:t>3、公务用车购置及运行维护费0万元，与上年预算相比无增减变化。本年预算比上年执行数增加0 万元，无增减变化。本年预算与上年执行数持平。其中，公务用车购置0万元，与上年预算持平；公务用车运行维护费0万元，本年预算与上年预算持平，无增减变化。没有公务用车所以没有发生公务用车运行维护费用。</w:t>
      </w:r>
    </w:p>
    <w:p>
      <w:pPr>
        <w:adjustRightInd w:val="0"/>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第三部分  其他公开事项说明</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一、机关运行经费安排情况说明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机关运行经费，是指各部门的公用经费，包括办公费、邮电费、差旅费、会议费、福利费、日常维修费、一般设备购置费、公务用车运行维护费、公务接待费以及其他费用。</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eastAsia="仿宋_GB2312"/>
          <w:sz w:val="32"/>
          <w:szCs w:val="32"/>
        </w:rPr>
        <w:t>2022年，我单位机关运行</w:t>
      </w:r>
      <w:r>
        <w:rPr>
          <w:rFonts w:hint="eastAsia" w:ascii="仿宋_GB2312" w:eastAsia="仿宋_GB2312"/>
          <w:color w:val="000000"/>
          <w:sz w:val="32"/>
          <w:szCs w:val="32"/>
        </w:rPr>
        <w:t>经费财政拨款</w:t>
      </w:r>
      <w:r>
        <w:rPr>
          <w:rFonts w:hint="eastAsia" w:ascii="仿宋_GB2312" w:eastAsia="仿宋_GB2312"/>
          <w:sz w:val="32"/>
          <w:szCs w:val="32"/>
        </w:rPr>
        <w:t>预算</w:t>
      </w:r>
      <w:r>
        <w:rPr>
          <w:rFonts w:hint="eastAsia" w:ascii="仿宋_GB2312" w:eastAsia="仿宋_GB2312"/>
          <w:color w:val="000000"/>
          <w:sz w:val="32"/>
          <w:szCs w:val="32"/>
        </w:rPr>
        <w:t>7.01万元，比上年</w:t>
      </w:r>
      <w:r>
        <w:rPr>
          <w:rFonts w:hint="eastAsia" w:ascii="仿宋_GB2312" w:eastAsia="仿宋_GB2312"/>
          <w:sz w:val="32"/>
          <w:szCs w:val="32"/>
        </w:rPr>
        <w:t>减少0.29</w:t>
      </w:r>
      <w:r>
        <w:rPr>
          <w:rFonts w:hint="eastAsia" w:ascii="仿宋_GB2312" w:eastAsia="仿宋_GB2312"/>
          <w:color w:val="000000"/>
          <w:sz w:val="32"/>
          <w:szCs w:val="32"/>
        </w:rPr>
        <w:t>万元，减少4.14</w:t>
      </w:r>
      <w:r>
        <w:rPr>
          <w:rFonts w:hint="eastAsia" w:ascii="仿宋_GB2312" w:eastAsia="仿宋_GB2312"/>
          <w:sz w:val="32"/>
          <w:szCs w:val="32"/>
        </w:rPr>
        <w:t>%</w:t>
      </w:r>
      <w:r>
        <w:rPr>
          <w:rFonts w:hint="eastAsia" w:ascii="仿宋_GB2312" w:eastAsia="仿宋_GB2312"/>
          <w:color w:val="000000"/>
          <w:sz w:val="32"/>
          <w:szCs w:val="32"/>
        </w:rPr>
        <w:t>。</w:t>
      </w:r>
      <w:r>
        <w:rPr>
          <w:rFonts w:hint="eastAsia" w:ascii="仿宋_GB2312" w:eastAsia="仿宋_GB2312"/>
          <w:sz w:val="32"/>
          <w:szCs w:val="32"/>
        </w:rPr>
        <w:t>主要原因是2022年办公费比2021年减少。</w:t>
      </w:r>
    </w:p>
    <w:p>
      <w:pPr>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二、政府采购预算情况说明</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政府采购预算总额0万元，其中：政府采购货物预算0万元，政府采购工程预算0万元，政府采购服务预算0万元。</w:t>
      </w:r>
    </w:p>
    <w:p>
      <w:pPr>
        <w:snapToGrid w:val="0"/>
        <w:spacing w:line="560" w:lineRule="exact"/>
        <w:ind w:firstLine="640" w:firstLineChars="200"/>
        <w:rPr>
          <w:rFonts w:eastAsia="仿宋_GB2312"/>
          <w:color w:val="000000"/>
          <w:sz w:val="32"/>
          <w:szCs w:val="32"/>
        </w:rPr>
      </w:pPr>
      <w:r>
        <w:rPr>
          <w:rFonts w:hint="eastAsia" w:ascii="黑体" w:hAnsi="黑体" w:eastAsia="黑体"/>
          <w:color w:val="000000"/>
          <w:sz w:val="32"/>
          <w:szCs w:val="32"/>
        </w:rPr>
        <w:t>三、国有资产占有使用情况说明</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截至2021年末，车辆全部上交，单位价值200万元以上大型设备0台（套）。</w:t>
      </w:r>
    </w:p>
    <w:p>
      <w:pPr>
        <w:snapToGrid w:val="0"/>
        <w:spacing w:line="560" w:lineRule="exact"/>
        <w:ind w:firstLine="640" w:firstLineChars="200"/>
        <w:rPr>
          <w:rFonts w:ascii="黑体" w:hAnsi="黑体" w:eastAsia="黑体"/>
          <w:sz w:val="32"/>
          <w:szCs w:val="32"/>
        </w:rPr>
      </w:pPr>
      <w:r>
        <w:rPr>
          <w:rFonts w:hint="eastAsia" w:ascii="黑体" w:eastAsia="黑体"/>
          <w:sz w:val="32"/>
          <w:szCs w:val="32"/>
        </w:rPr>
        <w:t>四、</w:t>
      </w:r>
      <w:r>
        <w:rPr>
          <w:rFonts w:hint="eastAsia" w:ascii="黑体" w:hAnsi="黑体" w:eastAsia="黑体"/>
          <w:sz w:val="32"/>
          <w:szCs w:val="32"/>
        </w:rPr>
        <w:t>2022年度项目支出绩效目标情况说明</w:t>
      </w:r>
    </w:p>
    <w:p>
      <w:pPr>
        <w:ind w:firstLine="640" w:firstLineChars="200"/>
        <w:rPr>
          <w:rFonts w:ascii="仿宋_GB2312" w:eastAsia="仿宋_GB2312"/>
          <w:sz w:val="32"/>
          <w:szCs w:val="32"/>
        </w:rPr>
      </w:pPr>
      <w:r>
        <w:rPr>
          <w:rFonts w:hint="eastAsia" w:ascii="仿宋_GB2312" w:eastAsia="仿宋_GB2312"/>
          <w:sz w:val="32"/>
          <w:szCs w:val="32"/>
        </w:rPr>
        <w:t>项目支出预算绩效目标填报情况</w:t>
      </w:r>
    </w:p>
    <w:p>
      <w:pPr>
        <w:ind w:firstLine="640" w:firstLineChars="200"/>
        <w:rPr>
          <w:rFonts w:ascii="仿宋_GB2312" w:eastAsia="仿宋_GB2312"/>
          <w:sz w:val="32"/>
          <w:szCs w:val="32"/>
        </w:rPr>
      </w:pPr>
      <w:r>
        <w:rPr>
          <w:rFonts w:hint="eastAsia" w:ascii="仿宋_GB2312" w:eastAsia="仿宋_GB2312"/>
          <w:sz w:val="32"/>
          <w:szCs w:val="32"/>
        </w:rPr>
        <w:t>2022年，填报绩效目标的预算项目2个，</w:t>
      </w:r>
      <w:bookmarkStart w:id="0" w:name="OLE_LINK1"/>
      <w:r>
        <w:rPr>
          <w:rFonts w:hint="eastAsia" w:ascii="仿宋_GB2312" w:eastAsia="仿宋_GB2312"/>
          <w:sz w:val="32"/>
          <w:szCs w:val="32"/>
        </w:rPr>
        <w:t>公开绩效目标2个，公开项目占全部预算项目的100%。</w:t>
      </w:r>
      <w:bookmarkEnd w:id="0"/>
      <w:r>
        <w:rPr>
          <w:rFonts w:hint="eastAsia" w:ascii="仿宋_GB2312" w:eastAsia="仿宋_GB2312"/>
          <w:sz w:val="32"/>
          <w:szCs w:val="32"/>
        </w:rPr>
        <w:t>公开填报绩效目标的项目支出预算3.0万元，占全部项目支出预算的100%。</w:t>
      </w:r>
    </w:p>
    <w:p>
      <w:pPr>
        <w:adjustRightInd w:val="0"/>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第四部分  名词解释</w:t>
      </w:r>
    </w:p>
    <w:p>
      <w:pPr>
        <w:snapToGrid w:val="0"/>
        <w:spacing w:line="560" w:lineRule="exact"/>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一、一般公共预算财政拨款收入：</w:t>
      </w:r>
      <w:r>
        <w:rPr>
          <w:rFonts w:hint="eastAsia" w:ascii="仿宋_GB2312" w:hAnsi="宋体" w:eastAsia="仿宋_GB2312"/>
          <w:color w:val="000000"/>
          <w:sz w:val="32"/>
          <w:szCs w:val="32"/>
        </w:rPr>
        <w:t>是指呼市本级财政当年拨付的资金。</w:t>
      </w:r>
    </w:p>
    <w:p>
      <w:pPr>
        <w:snapToGrid w:val="0"/>
        <w:spacing w:line="560" w:lineRule="exact"/>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二、事业收入：</w:t>
      </w:r>
      <w:r>
        <w:rPr>
          <w:rFonts w:hint="eastAsia" w:ascii="仿宋_GB2312" w:hAnsi="宋体" w:eastAsia="仿宋_GB2312"/>
          <w:color w:val="000000"/>
          <w:sz w:val="32"/>
          <w:szCs w:val="32"/>
        </w:rPr>
        <w:t>是指事业单位开展专业业务活动及辅助活动所取得的收入。</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三、事业单位经营收入</w:t>
      </w:r>
      <w:r>
        <w:rPr>
          <w:rFonts w:hint="eastAsia" w:ascii="仿宋_GB2312" w:hAnsi="宋体" w:eastAsia="仿宋_GB2312"/>
          <w:color w:val="000000"/>
          <w:sz w:val="32"/>
          <w:szCs w:val="32"/>
        </w:rPr>
        <w:t>：是指事业单位在专业业务活动及其辅助活动之外开展非独立核算经营活动取得的收入。</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四、其他收入</w:t>
      </w:r>
      <w:r>
        <w:rPr>
          <w:rFonts w:hint="eastAsia" w:ascii="仿宋_GB2312" w:hAnsi="宋体" w:eastAsia="仿宋_GB2312"/>
          <w:color w:val="000000"/>
          <w:sz w:val="32"/>
          <w:szCs w:val="32"/>
        </w:rPr>
        <w:t xml:space="preserve"> ：是指除上述“一般公共预算财政拨款收入”、“事业收入”、“事业单位经营收入”等以外的收入。主要是指按规定动用的售房收入、存款利息收入等。</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五、用事业基金弥补收支差额</w:t>
      </w:r>
      <w:r>
        <w:rPr>
          <w:rFonts w:hint="eastAsia" w:ascii="仿宋_GB2312" w:hAnsi="宋体" w:eastAsia="仿宋_GB2312"/>
          <w:color w:val="000000"/>
          <w:sz w:val="32"/>
          <w:szCs w:val="32"/>
        </w:rPr>
        <w:t>：是指事业单位在预计用当年的“一般公共预算财政拨款收入”、“财政拨款结转和结余资金”、“事业收入”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六、上年结转和结余</w:t>
      </w:r>
      <w:r>
        <w:rPr>
          <w:rFonts w:hint="eastAsia" w:ascii="仿宋_GB2312" w:hAnsi="宋体" w:eastAsia="仿宋_GB2312"/>
          <w:color w:val="000000"/>
          <w:sz w:val="32"/>
          <w:szCs w:val="32"/>
        </w:rPr>
        <w:t>：是指以前年度尚未完成、结转到本年仍按原规定用途继续使用的资金。</w:t>
      </w:r>
    </w:p>
    <w:p>
      <w:pPr>
        <w:snapToGrid w:val="0"/>
        <w:spacing w:line="560" w:lineRule="exact"/>
        <w:ind w:firstLine="645"/>
        <w:rPr>
          <w:rFonts w:ascii="仿宋_GB2312" w:eastAsia="仿宋_GB2312"/>
          <w:sz w:val="32"/>
          <w:szCs w:val="32"/>
        </w:rPr>
      </w:pPr>
      <w:r>
        <w:rPr>
          <w:rFonts w:hint="eastAsia" w:ascii="黑体" w:eastAsia="黑体"/>
          <w:sz w:val="32"/>
          <w:szCs w:val="32"/>
        </w:rPr>
        <w:t>七、基本支出</w:t>
      </w:r>
      <w:r>
        <w:rPr>
          <w:rFonts w:hint="eastAsia" w:ascii="仿宋_GB2312" w:eastAsia="仿宋_GB2312"/>
          <w:sz w:val="32"/>
          <w:szCs w:val="32"/>
        </w:rPr>
        <w:t>：是指为保障机构正常运转，完成日常工作任务而发生的人员支出和公用支出。</w:t>
      </w:r>
    </w:p>
    <w:p>
      <w:pPr>
        <w:snapToGrid w:val="0"/>
        <w:spacing w:line="560" w:lineRule="exact"/>
        <w:ind w:firstLine="645"/>
        <w:rPr>
          <w:rFonts w:ascii="仿宋_GB2312" w:eastAsia="仿宋_GB2312"/>
          <w:sz w:val="32"/>
          <w:szCs w:val="32"/>
        </w:rPr>
      </w:pPr>
      <w:r>
        <w:rPr>
          <w:rFonts w:hint="eastAsia" w:ascii="黑体" w:eastAsia="黑体"/>
          <w:sz w:val="32"/>
          <w:szCs w:val="32"/>
        </w:rPr>
        <w:t>八、项目支出</w:t>
      </w:r>
      <w:r>
        <w:rPr>
          <w:rFonts w:hint="eastAsia" w:ascii="仿宋_GB2312" w:eastAsia="仿宋_GB2312"/>
          <w:sz w:val="32"/>
          <w:szCs w:val="32"/>
        </w:rPr>
        <w:t>：是指基本支出之外，为完成特定行政任务和事业发展目标所发生的支出。</w:t>
      </w:r>
    </w:p>
    <w:p>
      <w:pPr>
        <w:snapToGrid w:val="0"/>
        <w:spacing w:line="560" w:lineRule="exact"/>
        <w:ind w:firstLine="645"/>
        <w:rPr>
          <w:rFonts w:ascii="仿宋_GB2312" w:eastAsia="仿宋_GB2312"/>
          <w:sz w:val="32"/>
          <w:szCs w:val="32"/>
        </w:rPr>
      </w:pPr>
      <w:r>
        <w:rPr>
          <w:rFonts w:hint="eastAsia" w:ascii="黑体" w:eastAsia="黑体"/>
          <w:sz w:val="32"/>
          <w:szCs w:val="32"/>
        </w:rPr>
        <w:t>九、“三公”经费</w:t>
      </w:r>
      <w:r>
        <w:rPr>
          <w:rFonts w:hint="eastAsia" w:ascii="仿宋_GB2312" w:eastAsia="仿宋_GB2312"/>
          <w:sz w:val="32"/>
          <w:szCs w:val="32"/>
        </w:rPr>
        <w:t>：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用车购置支出（含车辆购置税）；公务用车运行维护费反映单位按规定保留的公务用车燃料费、维修费、保险费、过路过桥费、安全奖励费用等支出；公务接待费反映单位按规定开支的各类公务接待（含外宾接待）支出。</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十、机关运行经费</w:t>
      </w:r>
      <w:r>
        <w:rPr>
          <w:rFonts w:hint="eastAsia" w:ascii="仿宋_GB2312" w:eastAsia="仿宋_GB2312"/>
          <w:sz w:val="32"/>
          <w:szCs w:val="32"/>
        </w:rPr>
        <w:t>：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十一、工资福利支出（支出经济分类科目类级）</w:t>
      </w:r>
      <w:r>
        <w:rPr>
          <w:rFonts w:hint="eastAsia" w:ascii="仿宋_GB2312" w:eastAsia="仿宋_GB2312"/>
          <w:sz w:val="32"/>
          <w:szCs w:val="32"/>
        </w:rPr>
        <w:t>：反映单位开支的在职职工和编制外长期聘用人员的各类活动报酬，以及为上述人员缴纳的各项社会保险费等。</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十二、商品和服务支出（支出经济分类科目类级）</w:t>
      </w:r>
      <w:r>
        <w:rPr>
          <w:rFonts w:hint="eastAsia" w:ascii="仿宋_GB2312" w:eastAsia="仿宋_GB2312"/>
          <w:sz w:val="32"/>
          <w:szCs w:val="32"/>
        </w:rPr>
        <w:t>：反映单位购买商品和服务的支出（不包括用于购置固定资产的支出、战略性和应急储备支出）。</w:t>
      </w:r>
    </w:p>
    <w:p>
      <w:pPr>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第五部分  预算公开联系方式及信息反馈渠道</w:t>
      </w:r>
    </w:p>
    <w:p>
      <w:pPr>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本单位预算公开信息反馈和联系方式：</w:t>
      </w:r>
    </w:p>
    <w:p>
      <w:pPr>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联系人：兰淑根        联系电话：0471-4609172</w:t>
      </w:r>
    </w:p>
    <w:p>
      <w:pPr>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第六部分  部门预算公开表</w:t>
      </w:r>
    </w:p>
    <w:p>
      <w:pPr>
        <w:ind w:firstLine="640" w:firstLineChars="200"/>
        <w:rPr>
          <w:rFonts w:ascii="仿宋_GB2312" w:eastAsia="仿宋_GB2312"/>
          <w:sz w:val="32"/>
          <w:szCs w:val="32"/>
        </w:rPr>
      </w:pPr>
      <w:r>
        <w:rPr>
          <w:rFonts w:hint="eastAsia" w:ascii="仿宋_GB2312" w:hAnsi="黑体" w:eastAsia="仿宋_GB2312"/>
          <w:color w:val="000000"/>
          <w:sz w:val="32"/>
          <w:szCs w:val="32"/>
        </w:rPr>
        <w:t>详见附表：部门预算公开8张表以总表形式上传，项目支出绩效目标表以总表形式上传。（样式见自治区部门预算公开样式）</w:t>
      </w:r>
    </w:p>
    <w:p/>
    <w:sectPr>
      <w:footerReference r:id="rId5" w:type="default"/>
      <w:pgSz w:w="11906" w:h="16838"/>
      <w:pgMar w:top="1588" w:right="1531" w:bottom="1588" w:left="1531" w:header="851" w:footer="851"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2000000000000000000"/>
    <w:charset w:val="86"/>
    <w:family w:val="script"/>
    <w:pitch w:val="default"/>
    <w:sig w:usb0="00000000" w:usb1="00000000" w:usb2="00000012" w:usb3="00000000" w:csb0="00040001" w:csb1="00000000"/>
  </w:font>
  <w:font w:name="楷体_GB2312">
    <w:altName w:val="汉仪楷体简"/>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A0000287" w:usb1="28CF3C52" w:usb2="00000016" w:usb3="00000000" w:csb0="0004001F" w:csb1="00000000"/>
  </w:font>
  <w:font w:name="楷体">
    <w:altName w:val="汉仪楷体KW"/>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III</w:t>
    </w:r>
    <w:r>
      <w:rPr>
        <w:rStyle w:val="6"/>
      </w:rPr>
      <w:fldChar w:fldCharType="end"/>
    </w:r>
  </w:p>
  <w:p>
    <w:pPr>
      <w:pStyle w:val="2"/>
      <w:jc w:val="center"/>
      <w:rPr>
        <w:sz w:val="24"/>
        <w:szCs w:val="24"/>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2DD8"/>
    <w:rsid w:val="000125C8"/>
    <w:rsid w:val="00026579"/>
    <w:rsid w:val="0006247B"/>
    <w:rsid w:val="000633DD"/>
    <w:rsid w:val="000C672A"/>
    <w:rsid w:val="001C5EC6"/>
    <w:rsid w:val="001D5C5E"/>
    <w:rsid w:val="002614C4"/>
    <w:rsid w:val="00273182"/>
    <w:rsid w:val="00323E0B"/>
    <w:rsid w:val="00324F86"/>
    <w:rsid w:val="00437527"/>
    <w:rsid w:val="00500603"/>
    <w:rsid w:val="005738F2"/>
    <w:rsid w:val="005A50DF"/>
    <w:rsid w:val="00602DD8"/>
    <w:rsid w:val="007034C3"/>
    <w:rsid w:val="00714C41"/>
    <w:rsid w:val="00716A88"/>
    <w:rsid w:val="0088768E"/>
    <w:rsid w:val="008E0B00"/>
    <w:rsid w:val="009003CC"/>
    <w:rsid w:val="00981D78"/>
    <w:rsid w:val="009B105A"/>
    <w:rsid w:val="009F4D39"/>
    <w:rsid w:val="00BE2B94"/>
    <w:rsid w:val="00C2569A"/>
    <w:rsid w:val="00C4625D"/>
    <w:rsid w:val="00C47FF2"/>
    <w:rsid w:val="00C63322"/>
    <w:rsid w:val="00C70982"/>
    <w:rsid w:val="00D43F05"/>
    <w:rsid w:val="00D75103"/>
    <w:rsid w:val="00E56A04"/>
    <w:rsid w:val="00F5117C"/>
    <w:rsid w:val="00F7737B"/>
    <w:rsid w:val="00F970DD"/>
    <w:rsid w:val="00FC1C58"/>
    <w:rsid w:val="3F7C1DD3"/>
    <w:rsid w:val="53FBB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jc w:val="left"/>
    </w:pPr>
    <w:rPr>
      <w:rFonts w:ascii="宋体" w:hAnsi="宋体" w:cs="宋体"/>
      <w:kern w:val="0"/>
      <w:sz w:val="24"/>
    </w:rPr>
  </w:style>
  <w:style w:type="character" w:styleId="6">
    <w:name w:val="page number"/>
    <w:basedOn w:val="5"/>
    <w:qFormat/>
    <w:uiPriority w:val="0"/>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541</Words>
  <Characters>3087</Characters>
  <Lines>25</Lines>
  <Paragraphs>7</Paragraphs>
  <TotalTime>0</TotalTime>
  <ScaleCrop>false</ScaleCrop>
  <LinksUpToDate>false</LinksUpToDate>
  <CharactersWithSpaces>3621</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2022-03-15T17:18:00Z</dcterms:created>
  <dc:creator>Windows User</dc:creator>
  <cp:lastModifiedBy>turtleslin</cp:lastModifiedBy>
  <dcterms:modified xsi:type="dcterms:W3CDTF">2022-04-07T11:29:53Z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